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3A210" w14:textId="42BA452B" w:rsidR="002953D4" w:rsidRDefault="00402BE7" w:rsidP="05E0EC88">
      <w:pPr>
        <w:spacing w:before="210" w:after="0" w:line="300" w:lineRule="auto"/>
      </w:pPr>
      <w:r w:rsidRPr="05E0EC88">
        <w:t>The Diplomatic Advisory Hub (DAH) convened an expert panel on 15 September 2026 to discuss the opportunities and challenges facing UK businesses trading with the EU, the future direction of the UK–EU relationship, and the practical support available to small and medium-sized enterprises.</w:t>
      </w:r>
    </w:p>
    <w:p w14:paraId="6E29FBCC" w14:textId="036C69FC" w:rsidR="002953D4" w:rsidRDefault="00402BE7" w:rsidP="05E0EC88">
      <w:pPr>
        <w:spacing w:before="210" w:after="210" w:line="300" w:lineRule="auto"/>
      </w:pPr>
      <w:r w:rsidRPr="05E0EC88">
        <w:t>The discussion was chaired by Gail Braybrook</w:t>
      </w:r>
      <w:r w:rsidR="172816A6" w:rsidRPr="05E0EC88">
        <w:t>, Deputy Head of</w:t>
      </w:r>
      <w:r w:rsidRPr="05E0EC88">
        <w:t xml:space="preserve"> the DAH. Speakers were Caroline Read; Ceri Morgan, His Majesty’s Trade Commissioner for Europe; William Bain, Head of Trade Policy at the British Chambers of Commerce (BCC); and Patrick Van Cauwenberghe</w:t>
      </w:r>
      <w:r w:rsidR="1B005E68" w:rsidRPr="05E0EC88">
        <w:t>, International Trade Networks Manager at</w:t>
      </w:r>
      <w:r w:rsidRPr="05E0EC88">
        <w:t xml:space="preserve"> the Port of Antwerp-Bruges. </w:t>
      </w:r>
    </w:p>
    <w:p w14:paraId="11099957" w14:textId="4E2F7BB4" w:rsidR="44C46B02" w:rsidRDefault="44C46B02" w:rsidP="05E0EC88">
      <w:pPr>
        <w:spacing w:before="210" w:after="210" w:line="300" w:lineRule="auto"/>
        <w:rPr>
          <w:b/>
          <w:bCs/>
        </w:rPr>
      </w:pPr>
      <w:r w:rsidRPr="05E0EC88">
        <w:rPr>
          <w:b/>
          <w:bCs/>
        </w:rPr>
        <w:t>Overview of UK-EU relationship</w:t>
      </w:r>
    </w:p>
    <w:p w14:paraId="421FAAD2" w14:textId="1C55B730" w:rsidR="002953D4" w:rsidRDefault="00402BE7" w:rsidP="05E0EC88">
      <w:pPr>
        <w:spacing w:before="210" w:after="210" w:line="300" w:lineRule="auto"/>
      </w:pPr>
      <w:r w:rsidRPr="05E0EC88">
        <w:t xml:space="preserve">Caroline Read began by describing a positive trajectory in the UK–EU relationship. She highlighted commitments to negotiate a new sanitary and phytosanitary (SPS) agreement covering food and drink, link the UK and EU emissions trading schemes, develop a youth experience scheme, and strengthen security and defence co-operation. The UK would also participate in Erasmus+. Negotiations were continuing, with a further UK–EU summit expected to provide an opportunity to conclude some of the agreements and establish priorities for the next stage of the relationship. She stressed that the Government would also continue to monitor wider EU policy developments and their implications for UK citizens and businesses. </w:t>
      </w:r>
    </w:p>
    <w:p w14:paraId="62B22C4C" w14:textId="7435FA2D" w:rsidR="49B4DBB2" w:rsidRDefault="49B4DBB2" w:rsidP="05E0EC88">
      <w:pPr>
        <w:spacing w:before="210" w:after="210" w:line="300" w:lineRule="auto"/>
        <w:rPr>
          <w:b/>
          <w:bCs/>
        </w:rPr>
      </w:pPr>
      <w:r w:rsidRPr="05E0EC88">
        <w:rPr>
          <w:b/>
          <w:bCs/>
        </w:rPr>
        <w:t>What's next for the UK-EU trading relationship</w:t>
      </w:r>
    </w:p>
    <w:p w14:paraId="225AF890" w14:textId="3BEDA0FB" w:rsidR="002953D4" w:rsidRDefault="00402BE7" w:rsidP="05E0EC88">
      <w:pPr>
        <w:spacing w:before="210" w:after="210" w:line="300" w:lineRule="auto"/>
        <w:rPr>
          <w:color w:val="464FEB"/>
        </w:rPr>
      </w:pPr>
      <w:r w:rsidRPr="05E0EC88">
        <w:t xml:space="preserve">Ceri Morgan said that trade in services between the UK and EU continued to grow and was significantly above pre-pandemic levels, partly because services faced fewer border-related obstacles than goods. The recently agreed UK–Switzerland free trade agreement could also support wider European trade by improving arrangements in areas such as services and professional mobility. She identified digital and technology, clean energy, life sciences and advanced engineering as particular areas of UK strength and potential European growth. Greater geopolitical uncertainty was increasing the value of close European economic relationships, including co-operation on critical supply chains, clean energy and investment. </w:t>
      </w:r>
    </w:p>
    <w:p w14:paraId="40BD1693" w14:textId="71C9533F" w:rsidR="002953D4" w:rsidRDefault="00402BE7" w:rsidP="05E0EC88">
      <w:pPr>
        <w:spacing w:before="210" w:after="210" w:line="300" w:lineRule="auto"/>
        <w:rPr>
          <w:color w:val="464FEB"/>
        </w:rPr>
      </w:pPr>
      <w:r w:rsidRPr="05E0EC88">
        <w:t xml:space="preserve">Looking ahead, Ceri Morgan said that an SPS agreement could be one of the most important outcomes for SMEs, given the significant decline in UK–EU trade in agri-food products. She also expected progress on business mobility and the mutual recognition of professional qualifications. Dialogue would continue on the EU’s emerging “Made in Europe” policies, which could affect UK participation in European supply chains and procurement. She added that the summit process was helping to </w:t>
      </w:r>
      <w:r w:rsidRPr="05E0EC88">
        <w:lastRenderedPageBreak/>
        <w:t>signal a more positive and predictable relationship to investors in both the UK and EU.</w:t>
      </w:r>
    </w:p>
    <w:p w14:paraId="50A24D97" w14:textId="3BE69140" w:rsidR="638BAAD0" w:rsidRDefault="638BAAD0" w:rsidP="05E0EC88">
      <w:pPr>
        <w:spacing w:before="210" w:after="210" w:line="300" w:lineRule="auto"/>
        <w:rPr>
          <w:b/>
          <w:bCs/>
        </w:rPr>
      </w:pPr>
      <w:r w:rsidRPr="05E0EC88">
        <w:rPr>
          <w:b/>
          <w:bCs/>
        </w:rPr>
        <w:t>Opportunities and challenges for UK SMEs</w:t>
      </w:r>
    </w:p>
    <w:p w14:paraId="7DF15AC8" w14:textId="29D2E649" w:rsidR="002953D4" w:rsidRDefault="00402BE7" w:rsidP="05E0EC88">
      <w:pPr>
        <w:spacing w:before="210" w:after="210" w:line="300" w:lineRule="auto"/>
        <w:rPr>
          <w:color w:val="464FEB"/>
        </w:rPr>
      </w:pPr>
      <w:r w:rsidRPr="05E0EC88">
        <w:t xml:space="preserve">William Bain agreed that services had been the strongest part of the UK–EU trading relationship since EU exit, with the UK’s share of EU services trade remaining broadly steady. However, future growth would depend on enabling businesspeople to undertake a wider range of activities in the EU and making progress on the mutual recognition of professional qualifications. He called for a leaders’ summit in 2026 to conclude agreements on SPS measures and emissions trading, advance work on electricity-market access and the youth experience scheme, and set out the next phase of economic and security co-operation. </w:t>
      </w:r>
    </w:p>
    <w:p w14:paraId="211B1382" w14:textId="6AD4AFC0" w:rsidR="002953D4" w:rsidRDefault="00402BE7" w:rsidP="05E0EC88">
      <w:pPr>
        <w:spacing w:before="210" w:after="210" w:line="300" w:lineRule="auto"/>
      </w:pPr>
      <w:r w:rsidRPr="05E0EC88">
        <w:t>William Bain identified the growing preference for European-produced goods in EU policy as one of the most significant risks facing UK businesses. Potential restrictions associated with “Made in Europe” could affect sectors including automotive, energy, hydrogen, nuclear fuels, chemicals and small modular reactors. He argued that finding an accommodation would benefit both sides, as UK businesses were an integral part of pan-European supply chains. For companies, he said, the practical value of the UK–EU reset should be measured through lower costs, reduced bureaucracy and increased commercial opportunities. This was particularly important for agri-food trade, where research cited by the BCC suggested a substantial fall in the variety of products traded since EU exit.</w:t>
      </w:r>
    </w:p>
    <w:p w14:paraId="688ACF4E" w14:textId="282FBF89" w:rsidR="2A96C12F" w:rsidRDefault="2A96C12F" w:rsidP="05E0EC88">
      <w:pPr>
        <w:spacing w:before="210" w:after="210" w:line="300" w:lineRule="auto"/>
        <w:rPr>
          <w:b/>
          <w:bCs/>
        </w:rPr>
      </w:pPr>
      <w:r w:rsidRPr="05E0EC88">
        <w:rPr>
          <w:b/>
          <w:bCs/>
        </w:rPr>
        <w:t>Changes since EU Exit and tips for SMEs</w:t>
      </w:r>
    </w:p>
    <w:p w14:paraId="16803026" w14:textId="43B9B399" w:rsidR="002953D4" w:rsidRDefault="00402BE7" w:rsidP="05E0EC88">
      <w:pPr>
        <w:spacing w:before="210" w:after="210" w:line="300" w:lineRule="auto"/>
        <w:rPr>
          <w:color w:val="464FEB"/>
        </w:rPr>
      </w:pPr>
      <w:r w:rsidRPr="05E0EC88">
        <w:t xml:space="preserve">Patrick Van Cauwenberghe provided a view from the Port of Antwerp-Bruges, Europe’s second-largest port and an important gateway between the UK and continental Europe. He said that UK–EU cargo volumes passing through the port had broadly consolidated over the previous decade, although there had been a modest slowdown in recent years. Around two-thirds of the traffic in this corridor consisted of goods moving from continental Europe to the UK. </w:t>
      </w:r>
      <w:r w:rsidR="3A44945A" w:rsidRPr="05E0EC88">
        <w:t>EU Exit</w:t>
      </w:r>
      <w:r w:rsidRPr="05E0EC88">
        <w:t xml:space="preserve">, the Covid-19 pandemic and wider geopolitical disruption had all affected established trading patterns. </w:t>
      </w:r>
    </w:p>
    <w:p w14:paraId="4D38BF29" w14:textId="088337F2" w:rsidR="002953D4" w:rsidRDefault="00402BE7" w:rsidP="05E0EC88">
      <w:pPr>
        <w:spacing w:before="210" w:after="210" w:line="300" w:lineRule="auto"/>
        <w:rPr>
          <w:color w:val="464FEB"/>
        </w:rPr>
      </w:pPr>
      <w:r w:rsidRPr="05E0EC88">
        <w:t xml:space="preserve">One significant change had been the growth of direct shipping connections between Ireland and continental Europe, allowing businesses to avoid some of the border formalities associated with using Great Britain as a land bridge. The port’s unaccompanied freight model, under which cargo travels separately from the driver, could offer UK firms advantages, including greater resilience to driver shortages and </w:t>
      </w:r>
      <w:r w:rsidRPr="05E0EC88">
        <w:lastRenderedPageBreak/>
        <w:t xml:space="preserve">disruption on shorter Channel crossings. Patrick Van Cauwenberghe encouraged SMEs not to be deterred by the additional complexity of EU trade. Instead, they should speak to freight forwarders, logistics providers, Chambers of Commerce and port specialists to identify workable routes and arrangements. He also highlighted the port’s free online route scanner, which compares cargo routes, estimated costs and emissions between UK and European destinations. </w:t>
      </w:r>
    </w:p>
    <w:p w14:paraId="0FF49326" w14:textId="13ED4F92" w:rsidR="002953D4" w:rsidRDefault="4861871C" w:rsidP="05E0EC88">
      <w:pPr>
        <w:spacing w:before="210" w:after="210" w:line="300" w:lineRule="auto"/>
      </w:pPr>
      <w:r w:rsidRPr="05E0EC88">
        <w:rPr>
          <w:b/>
          <w:bCs/>
        </w:rPr>
        <w:t>Question and answer section</w:t>
      </w:r>
    </w:p>
    <w:p w14:paraId="0F702EF6" w14:textId="3A297E4A" w:rsidR="002953D4" w:rsidRDefault="3905A8E3" w:rsidP="05E0EC88">
      <w:pPr>
        <w:spacing w:before="210" w:after="210" w:line="300" w:lineRule="auto"/>
      </w:pPr>
      <w:r w:rsidRPr="05E0EC88">
        <w:t xml:space="preserve">The question-and answer session addressed several detailed regulatory and operational issues, including EU customs reform, VAT and Carbon Border </w:t>
      </w:r>
      <w:r w:rsidR="709F8A3B" w:rsidRPr="05E0EC88">
        <w:t>Adjustment</w:t>
      </w:r>
      <w:r w:rsidRPr="05E0EC88">
        <w:t xml:space="preserve"> Mechanism (EU), 'Made in Europe' proposals</w:t>
      </w:r>
      <w:r w:rsidR="2837AC58" w:rsidRPr="05E0EC88">
        <w:t xml:space="preserve"> and</w:t>
      </w:r>
      <w:r w:rsidR="7C5A5451" w:rsidRPr="05E0EC88">
        <w:t xml:space="preserve"> sanitary and phyto-sanitary </w:t>
      </w:r>
      <w:r w:rsidR="4063BB45" w:rsidRPr="05E0EC88">
        <w:t>arrangements</w:t>
      </w:r>
      <w:r w:rsidR="61FE95A7" w:rsidRPr="05E0EC88">
        <w:t>.</w:t>
      </w:r>
    </w:p>
    <w:p w14:paraId="48A8B405" w14:textId="6F29A0ED" w:rsidR="002953D4" w:rsidRDefault="288E4F77" w:rsidP="05E0EC88">
      <w:pPr>
        <w:spacing w:before="210" w:after="210" w:line="300" w:lineRule="auto"/>
        <w:rPr>
          <w:color w:val="464FEB"/>
        </w:rPr>
      </w:pPr>
      <w:r w:rsidRPr="05E0EC88">
        <w:t>Finally, the panel outlined the support available to SMEs. Businesses seeking practical export or market-entry advice could use the Government’s business support services, including the Unlock Europe webinar series and specialist advisers working across European markets. Firms could submit specific enquiries to receive tailored guidance and market analysis. Chambers of Commerce, freight forwarders, logistics providers and ports could also help businesses identify solutions to customs and transport challenges. The DAH complemented this support by providing geopolitical insight, including insights into how political change and international developments could affect business operations in particular markets.</w:t>
      </w:r>
    </w:p>
    <w:p w14:paraId="5E5787A5" w14:textId="7C201B1D" w:rsidR="002953D4" w:rsidRDefault="002953D4" w:rsidP="05E0EC88">
      <w:pPr>
        <w:spacing w:before="210" w:after="210" w:line="300" w:lineRule="auto"/>
      </w:pPr>
    </w:p>
    <w:sectPr w:rsidR="002953D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030E" w14:textId="77777777" w:rsidR="00674431" w:rsidRDefault="00674431" w:rsidP="00675BDA">
      <w:pPr>
        <w:spacing w:after="0" w:line="240" w:lineRule="auto"/>
      </w:pPr>
      <w:r>
        <w:separator/>
      </w:r>
    </w:p>
  </w:endnote>
  <w:endnote w:type="continuationSeparator" w:id="0">
    <w:p w14:paraId="2E6460AA" w14:textId="77777777" w:rsidR="00674431" w:rsidRDefault="00674431" w:rsidP="00675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08D2" w14:textId="42FDCFBE" w:rsidR="00675BDA" w:rsidRDefault="00675BDA">
    <w:pPr>
      <w:pStyle w:val="Footer"/>
    </w:pPr>
    <w:r>
      <w:rPr>
        <w:noProof/>
      </w:rPr>
      <mc:AlternateContent>
        <mc:Choice Requires="wps">
          <w:drawing>
            <wp:anchor distT="0" distB="0" distL="0" distR="0" simplePos="0" relativeHeight="251662336" behindDoc="0" locked="0" layoutInCell="1" allowOverlap="1" wp14:anchorId="1E1773E2" wp14:editId="38C8750F">
              <wp:simplePos x="635" y="635"/>
              <wp:positionH relativeFrom="page">
                <wp:align>center</wp:align>
              </wp:positionH>
              <wp:positionV relativeFrom="page">
                <wp:align>bottom</wp:align>
              </wp:positionV>
              <wp:extent cx="504825" cy="371475"/>
              <wp:effectExtent l="0" t="0" r="9525" b="0"/>
              <wp:wrapNone/>
              <wp:docPr id="4609923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66D35040" w14:textId="53BA9A90" w:rsidR="00675BDA" w:rsidRPr="00675BDA" w:rsidRDefault="00675BDA" w:rsidP="00675BDA">
                          <w:pPr>
                            <w:spacing w:after="0"/>
                            <w:rPr>
                              <w:rFonts w:ascii="Aptos" w:eastAsia="Aptos" w:hAnsi="Aptos" w:cs="Aptos"/>
                              <w:noProof/>
                              <w:color w:val="000000"/>
                              <w:sz w:val="20"/>
                              <w:szCs w:val="20"/>
                            </w:rPr>
                          </w:pPr>
                          <w:r w:rsidRPr="00675BD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E1773E2">
              <v:stroke joinstyle="miter"/>
              <v:path gradientshapeok="t" o:connecttype="rect"/>
            </v:shapetype>
            <v:shape id="Text Box 5" style="position:absolute;margin-left:0;margin-top:0;width:39.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nhDw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">
              <v:fill o:detectmouseclick="t"/>
              <v:textbox style="mso-fit-shape-to-text:t" inset="0,0,0,15pt">
                <w:txbxContent>
                  <w:p w:rsidRPr="00675BDA" w:rsidR="00675BDA" w:rsidP="00675BDA" w:rsidRDefault="00675BDA" w14:paraId="66D35040" w14:textId="53BA9A90">
                    <w:pPr>
                      <w:spacing w:after="0"/>
                      <w:rPr>
                        <w:rFonts w:ascii="Aptos" w:hAnsi="Aptos" w:eastAsia="Aptos" w:cs="Aptos"/>
                        <w:noProof/>
                        <w:color w:val="000000"/>
                        <w:sz w:val="20"/>
                        <w:szCs w:val="20"/>
                      </w:rPr>
                    </w:pPr>
                    <w:r w:rsidRPr="00675BDA">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5DF4" w14:textId="5EF60D89" w:rsidR="05E0EC88" w:rsidRDefault="05E0EC88" w:rsidP="05E0EC88">
    <w:pPr>
      <w:pStyle w:val="Footer"/>
      <w:jc w:val="center"/>
    </w:pPr>
    <w:r>
      <w:fldChar w:fldCharType="begin"/>
    </w:r>
    <w:r>
      <w:instrText>PAGE</w:instrText>
    </w:r>
    <w:r>
      <w:fldChar w:fldCharType="separate"/>
    </w:r>
    <w:r w:rsidR="00A86DED">
      <w:rPr>
        <w:noProof/>
      </w:rPr>
      <w:t>1</w:t>
    </w:r>
    <w:r>
      <w:fldChar w:fldCharType="end"/>
    </w:r>
  </w:p>
  <w:p w14:paraId="013A7335" w14:textId="08FB3DFE" w:rsidR="00675BDA" w:rsidRDefault="00675BDA">
    <w:pPr>
      <w:pStyle w:val="Footer"/>
    </w:pPr>
    <w:r>
      <w:rPr>
        <w:noProof/>
      </w:rPr>
      <mc:AlternateContent>
        <mc:Choice Requires="wps">
          <w:drawing>
            <wp:anchor distT="0" distB="0" distL="0" distR="0" simplePos="0" relativeHeight="251663360" behindDoc="0" locked="0" layoutInCell="1" allowOverlap="1" wp14:anchorId="2985FCEF" wp14:editId="68FD968B">
              <wp:simplePos x="635" y="635"/>
              <wp:positionH relativeFrom="page">
                <wp:align>center</wp:align>
              </wp:positionH>
              <wp:positionV relativeFrom="page">
                <wp:align>bottom</wp:align>
              </wp:positionV>
              <wp:extent cx="504825" cy="371475"/>
              <wp:effectExtent l="0" t="0" r="9525" b="0"/>
              <wp:wrapNone/>
              <wp:docPr id="11557426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31648726" w14:textId="78A18F26" w:rsidR="00675BDA" w:rsidRPr="00675BDA" w:rsidRDefault="00675BDA" w:rsidP="00675BDA">
                          <w:pPr>
                            <w:spacing w:after="0"/>
                            <w:rPr>
                              <w:rFonts w:ascii="Aptos" w:eastAsia="Aptos" w:hAnsi="Aptos" w:cs="Aptos"/>
                              <w:noProof/>
                              <w:color w:val="000000"/>
                              <w:sz w:val="20"/>
                              <w:szCs w:val="20"/>
                            </w:rPr>
                          </w:pPr>
                          <w:r w:rsidRPr="00675BD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985FCEF">
              <v:stroke joinstyle="miter"/>
              <v:path gradientshapeok="t" o:connecttype="rect"/>
            </v:shapetype>
            <v:shape id="Text Box 6" style="position:absolute;margin-left:0;margin-top:0;width:39.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cDg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">
              <v:fill o:detectmouseclick="t"/>
              <v:textbox style="mso-fit-shape-to-text:t" inset="0,0,0,15pt">
                <w:txbxContent>
                  <w:p w:rsidRPr="00675BDA" w:rsidR="00675BDA" w:rsidP="00675BDA" w:rsidRDefault="00675BDA" w14:paraId="31648726" w14:textId="78A18F26">
                    <w:pPr>
                      <w:spacing w:after="0"/>
                      <w:rPr>
                        <w:rFonts w:ascii="Aptos" w:hAnsi="Aptos" w:eastAsia="Aptos" w:cs="Aptos"/>
                        <w:noProof/>
                        <w:color w:val="000000"/>
                        <w:sz w:val="20"/>
                        <w:szCs w:val="20"/>
                      </w:rPr>
                    </w:pPr>
                    <w:r w:rsidRPr="00675BDA">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F1E0" w14:textId="6C7E1A19" w:rsidR="00675BDA" w:rsidRDefault="00675BDA">
    <w:pPr>
      <w:pStyle w:val="Footer"/>
    </w:pPr>
    <w:r>
      <w:rPr>
        <w:noProof/>
      </w:rPr>
      <mc:AlternateContent>
        <mc:Choice Requires="wps">
          <w:drawing>
            <wp:anchor distT="0" distB="0" distL="0" distR="0" simplePos="0" relativeHeight="251661312" behindDoc="0" locked="0" layoutInCell="1" allowOverlap="1" wp14:anchorId="3CBC121D" wp14:editId="34DC2FBF">
              <wp:simplePos x="635" y="635"/>
              <wp:positionH relativeFrom="page">
                <wp:align>center</wp:align>
              </wp:positionH>
              <wp:positionV relativeFrom="page">
                <wp:align>bottom</wp:align>
              </wp:positionV>
              <wp:extent cx="504825" cy="371475"/>
              <wp:effectExtent l="0" t="0" r="9525" b="0"/>
              <wp:wrapNone/>
              <wp:docPr id="131829644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29CA4F91" w14:textId="515B4112" w:rsidR="00675BDA" w:rsidRPr="00675BDA" w:rsidRDefault="00675BDA" w:rsidP="00675BDA">
                          <w:pPr>
                            <w:spacing w:after="0"/>
                            <w:rPr>
                              <w:rFonts w:ascii="Aptos" w:eastAsia="Aptos" w:hAnsi="Aptos" w:cs="Aptos"/>
                              <w:noProof/>
                              <w:color w:val="000000"/>
                              <w:sz w:val="20"/>
                              <w:szCs w:val="20"/>
                            </w:rPr>
                          </w:pPr>
                          <w:r w:rsidRPr="00675BD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CBC121D">
              <v:stroke joinstyle="miter"/>
              <v:path gradientshapeok="t" o:connecttype="rect"/>
            </v:shapetype>
            <v:shape id="Text Box 4" style="position:absolute;margin-left:0;margin-top:0;width:39.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RRDg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">
              <v:fill o:detectmouseclick="t"/>
              <v:textbox style="mso-fit-shape-to-text:t" inset="0,0,0,15pt">
                <w:txbxContent>
                  <w:p w:rsidRPr="00675BDA" w:rsidR="00675BDA" w:rsidP="00675BDA" w:rsidRDefault="00675BDA" w14:paraId="29CA4F91" w14:textId="515B4112">
                    <w:pPr>
                      <w:spacing w:after="0"/>
                      <w:rPr>
                        <w:rFonts w:ascii="Aptos" w:hAnsi="Aptos" w:eastAsia="Aptos" w:cs="Aptos"/>
                        <w:noProof/>
                        <w:color w:val="000000"/>
                        <w:sz w:val="20"/>
                        <w:szCs w:val="20"/>
                      </w:rPr>
                    </w:pPr>
                    <w:r w:rsidRPr="00675BDA">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B9D4A" w14:textId="77777777" w:rsidR="00674431" w:rsidRDefault="00674431" w:rsidP="00675BDA">
      <w:pPr>
        <w:spacing w:after="0" w:line="240" w:lineRule="auto"/>
      </w:pPr>
      <w:r>
        <w:separator/>
      </w:r>
    </w:p>
  </w:footnote>
  <w:footnote w:type="continuationSeparator" w:id="0">
    <w:p w14:paraId="4E7A0201" w14:textId="77777777" w:rsidR="00674431" w:rsidRDefault="00674431" w:rsidP="00675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D449" w14:textId="6196BFDF" w:rsidR="00675BDA" w:rsidRDefault="00675BDA">
    <w:pPr>
      <w:pStyle w:val="Header"/>
    </w:pPr>
    <w:r>
      <w:rPr>
        <w:noProof/>
      </w:rPr>
      <mc:AlternateContent>
        <mc:Choice Requires="wps">
          <w:drawing>
            <wp:anchor distT="0" distB="0" distL="0" distR="0" simplePos="0" relativeHeight="251659264" behindDoc="0" locked="0" layoutInCell="1" allowOverlap="1" wp14:anchorId="6F4BB0EA" wp14:editId="217861B6">
              <wp:simplePos x="635" y="635"/>
              <wp:positionH relativeFrom="page">
                <wp:align>center</wp:align>
              </wp:positionH>
              <wp:positionV relativeFrom="page">
                <wp:align>top</wp:align>
              </wp:positionV>
              <wp:extent cx="504825" cy="371475"/>
              <wp:effectExtent l="0" t="0" r="9525" b="9525"/>
              <wp:wrapNone/>
              <wp:docPr id="8732236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3D8C9B44" w14:textId="562D4336" w:rsidR="00675BDA" w:rsidRPr="00675BDA" w:rsidRDefault="00675BDA" w:rsidP="00675BDA">
                          <w:pPr>
                            <w:spacing w:after="0"/>
                            <w:rPr>
                              <w:rFonts w:ascii="Aptos" w:eastAsia="Aptos" w:hAnsi="Aptos" w:cs="Aptos"/>
                              <w:noProof/>
                              <w:color w:val="000000"/>
                              <w:sz w:val="20"/>
                              <w:szCs w:val="20"/>
                            </w:rPr>
                          </w:pPr>
                          <w:r w:rsidRPr="00675BD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F4BB0EA">
              <v:stroke joinstyle="miter"/>
              <v:path gradientshapeok="t" o:connecttype="rect"/>
            </v:shapetype>
            <v:shape id="Text Box 2" style="position:absolute;margin-left:0;margin-top:0;width:39.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">
              <v:fill o:detectmouseclick="t"/>
              <v:textbox style="mso-fit-shape-to-text:t" inset="0,15pt,0,0">
                <w:txbxContent>
                  <w:p w:rsidRPr="00675BDA" w:rsidR="00675BDA" w:rsidP="00675BDA" w:rsidRDefault="00675BDA" w14:paraId="3D8C9B44" w14:textId="562D4336">
                    <w:pPr>
                      <w:spacing w:after="0"/>
                      <w:rPr>
                        <w:rFonts w:ascii="Aptos" w:hAnsi="Aptos" w:eastAsia="Aptos" w:cs="Aptos"/>
                        <w:noProof/>
                        <w:color w:val="000000"/>
                        <w:sz w:val="20"/>
                        <w:szCs w:val="20"/>
                      </w:rPr>
                    </w:pPr>
                    <w:r w:rsidRPr="00675BDA">
                      <w:rPr>
                        <w:rFonts w:ascii="Aptos" w:hAnsi="Aptos" w:eastAsia="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2B1C" w14:textId="09B5B32A" w:rsidR="00675BDA" w:rsidRDefault="05E0EC88" w:rsidP="05E0EC88">
    <w:pPr>
      <w:pStyle w:val="Header"/>
      <w:spacing w:before="261" w:after="261" w:line="300" w:lineRule="auto"/>
      <w:rPr>
        <w:b/>
        <w:bCs/>
      </w:rPr>
    </w:pPr>
    <w:r w:rsidRPr="05E0EC88">
      <w:rPr>
        <w:b/>
        <w:bCs/>
      </w:rPr>
      <w:t>Diplomatic Advisory Hub Webinar: Trading with the EU, 15 September 2026</w:t>
    </w:r>
  </w:p>
  <w:p w14:paraId="15839CAA" w14:textId="16680DEC" w:rsidR="00675BDA" w:rsidRDefault="00675B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8232" w14:textId="059CB843" w:rsidR="00675BDA" w:rsidRDefault="00675BDA">
    <w:pPr>
      <w:pStyle w:val="Header"/>
    </w:pPr>
    <w:r>
      <w:rPr>
        <w:noProof/>
      </w:rPr>
      <mc:AlternateContent>
        <mc:Choice Requires="wps">
          <w:drawing>
            <wp:anchor distT="0" distB="0" distL="0" distR="0" simplePos="0" relativeHeight="251658240" behindDoc="0" locked="0" layoutInCell="1" allowOverlap="1" wp14:anchorId="68559B22" wp14:editId="4807B200">
              <wp:simplePos x="635" y="635"/>
              <wp:positionH relativeFrom="page">
                <wp:align>center</wp:align>
              </wp:positionH>
              <wp:positionV relativeFrom="page">
                <wp:align>top</wp:align>
              </wp:positionV>
              <wp:extent cx="504825" cy="371475"/>
              <wp:effectExtent l="0" t="0" r="9525" b="9525"/>
              <wp:wrapNone/>
              <wp:docPr id="12767822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6E51AF13" w14:textId="4EB67086" w:rsidR="00675BDA" w:rsidRPr="00675BDA" w:rsidRDefault="00675BDA" w:rsidP="00675BDA">
                          <w:pPr>
                            <w:spacing w:after="0"/>
                            <w:rPr>
                              <w:rFonts w:ascii="Aptos" w:eastAsia="Aptos" w:hAnsi="Aptos" w:cs="Aptos"/>
                              <w:noProof/>
                              <w:color w:val="000000"/>
                              <w:sz w:val="20"/>
                              <w:szCs w:val="20"/>
                            </w:rPr>
                          </w:pPr>
                          <w:r w:rsidRPr="00675BD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8559B22">
              <v:stroke joinstyle="miter"/>
              <v:path gradientshapeok="t" o:connecttype="rect"/>
            </v:shapetype>
            <v:shape id="Text Box 1" style="position:absolute;margin-left:0;margin-top:0;width:39.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fYDw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">
              <v:fill o:detectmouseclick="t"/>
              <v:textbox style="mso-fit-shape-to-text:t" inset="0,15pt,0,0">
                <w:txbxContent>
                  <w:p w:rsidRPr="00675BDA" w:rsidR="00675BDA" w:rsidP="00675BDA" w:rsidRDefault="00675BDA" w14:paraId="6E51AF13" w14:textId="4EB67086">
                    <w:pPr>
                      <w:spacing w:after="0"/>
                      <w:rPr>
                        <w:rFonts w:ascii="Aptos" w:hAnsi="Aptos" w:eastAsia="Aptos" w:cs="Aptos"/>
                        <w:noProof/>
                        <w:color w:val="000000"/>
                        <w:sz w:val="20"/>
                        <w:szCs w:val="20"/>
                      </w:rPr>
                    </w:pPr>
                    <w:r w:rsidRPr="00675BDA">
                      <w:rPr>
                        <w:rFonts w:ascii="Aptos" w:hAnsi="Aptos" w:eastAsia="Aptos" w:cs="Aptos"/>
                        <w:noProof/>
                        <w:color w:val="000000"/>
                        <w:sz w:val="2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03B1FC"/>
    <w:rsid w:val="0017581C"/>
    <w:rsid w:val="0028120C"/>
    <w:rsid w:val="002953D4"/>
    <w:rsid w:val="00402BE7"/>
    <w:rsid w:val="00674431"/>
    <w:rsid w:val="00675BDA"/>
    <w:rsid w:val="00A86DED"/>
    <w:rsid w:val="00DB7DCE"/>
    <w:rsid w:val="00DE2BF4"/>
    <w:rsid w:val="0104891B"/>
    <w:rsid w:val="05E0EC88"/>
    <w:rsid w:val="06E92DE6"/>
    <w:rsid w:val="0A2B73A7"/>
    <w:rsid w:val="0ACAB8FF"/>
    <w:rsid w:val="1136BB83"/>
    <w:rsid w:val="172816A6"/>
    <w:rsid w:val="17CDE27C"/>
    <w:rsid w:val="1B005E68"/>
    <w:rsid w:val="1E03B1FC"/>
    <w:rsid w:val="26DD1DC4"/>
    <w:rsid w:val="2837AC58"/>
    <w:rsid w:val="288E4F77"/>
    <w:rsid w:val="2A96C12F"/>
    <w:rsid w:val="2D00B3DB"/>
    <w:rsid w:val="2DEAC188"/>
    <w:rsid w:val="34CE8C1B"/>
    <w:rsid w:val="3905A8E3"/>
    <w:rsid w:val="394826D4"/>
    <w:rsid w:val="3A44945A"/>
    <w:rsid w:val="4063BB45"/>
    <w:rsid w:val="4088CFAC"/>
    <w:rsid w:val="42A3AB3E"/>
    <w:rsid w:val="443B4FB4"/>
    <w:rsid w:val="44C46B02"/>
    <w:rsid w:val="458D752C"/>
    <w:rsid w:val="4748D3E8"/>
    <w:rsid w:val="4861871C"/>
    <w:rsid w:val="49B4DBB2"/>
    <w:rsid w:val="51208F99"/>
    <w:rsid w:val="58797C80"/>
    <w:rsid w:val="5C0333B3"/>
    <w:rsid w:val="5CE62F35"/>
    <w:rsid w:val="5EF0431B"/>
    <w:rsid w:val="61FE95A7"/>
    <w:rsid w:val="6354F7D0"/>
    <w:rsid w:val="638BAAD0"/>
    <w:rsid w:val="6439F231"/>
    <w:rsid w:val="669B6CE5"/>
    <w:rsid w:val="6FC44D80"/>
    <w:rsid w:val="709F8A3B"/>
    <w:rsid w:val="7716DBE5"/>
    <w:rsid w:val="79972A99"/>
    <w:rsid w:val="7B2BE8E6"/>
    <w:rsid w:val="7C5A5451"/>
    <w:rsid w:val="7C9B3C73"/>
    <w:rsid w:val="7C9DD7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A19D"/>
  <w15:chartTrackingRefBased/>
  <w15:docId w15:val="{FFF6E9FD-E8AC-4823-94E6-13CA2FA9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1136B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136BB83"/>
    <w:rPr>
      <w:color w:val="467886"/>
      <w:u w:val="single"/>
    </w:rPr>
  </w:style>
  <w:style w:type="paragraph" w:styleId="Header">
    <w:name w:val="header"/>
    <w:basedOn w:val="Normal"/>
    <w:link w:val="HeaderChar"/>
    <w:uiPriority w:val="99"/>
    <w:unhideWhenUsed/>
    <w:rsid w:val="00675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BDA"/>
  </w:style>
  <w:style w:type="paragraph" w:styleId="Footer">
    <w:name w:val="footer"/>
    <w:basedOn w:val="Normal"/>
    <w:link w:val="FooterChar"/>
    <w:uiPriority w:val="99"/>
    <w:unhideWhenUsed/>
    <w:rsid w:val="00675B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35b0d3-8c9d-4bb0-b25d-dd520b6fcd3e" xsi:nil="true"/>
    <lcf76f155ced4ddcb4097134ff3c332f xmlns="02ee3745-ca02-4761-bcff-17af38069b2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800861CCC66140BDB54C7CDCFF0F1D" ma:contentTypeVersion="12" ma:contentTypeDescription="Create a new document." ma:contentTypeScope="" ma:versionID="c4939898534bf7958f403c209e66e05b">
  <xsd:schema xmlns:xsd="http://www.w3.org/2001/XMLSchema" xmlns:xs="http://www.w3.org/2001/XMLSchema" xmlns:p="http://schemas.microsoft.com/office/2006/metadata/properties" xmlns:ns2="02ee3745-ca02-4761-bcff-17af38069b29" xmlns:ns3="8835b0d3-8c9d-4bb0-b25d-dd520b6fcd3e" targetNamespace="http://schemas.microsoft.com/office/2006/metadata/properties" ma:root="true" ma:fieldsID="39bb96a8b40ca0bd8fd0340cee820798" ns2:_="" ns3:_="">
    <xsd:import namespace="02ee3745-ca02-4761-bcff-17af38069b29"/>
    <xsd:import namespace="8835b0d3-8c9d-4bb0-b25d-dd520b6fcd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e3745-ca02-4761-bcff-17af38069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4f66ec-a8c1-4b1a-8264-b59a49a9c5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35b0d3-8c9d-4bb0-b25d-dd520b6fcd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089083-069b-4acf-a64d-d9446ed5cfa0}" ma:internalName="TaxCatchAll" ma:showField="CatchAllData" ma:web="8835b0d3-8c9d-4bb0-b25d-dd520b6fc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18375-15A1-4C01-8216-A059563809D0}">
  <ds:schemaRefs>
    <ds:schemaRef ds:uri="http://schemas.microsoft.com/sharepoint/v3/contenttype/forms"/>
  </ds:schemaRefs>
</ds:datastoreItem>
</file>

<file path=customXml/itemProps2.xml><?xml version="1.0" encoding="utf-8"?>
<ds:datastoreItem xmlns:ds="http://schemas.openxmlformats.org/officeDocument/2006/customXml" ds:itemID="{551A00DC-FE27-48D7-8939-59D2C8BE8B65}">
  <ds:schemaRefs>
    <ds:schemaRef ds:uri="http://schemas.microsoft.com/office/2006/metadata/properties"/>
    <ds:schemaRef ds:uri="http://schemas.microsoft.com/office/infopath/2007/PartnerControls"/>
    <ds:schemaRef ds:uri="8835b0d3-8c9d-4bb0-b25d-dd520b6fcd3e"/>
    <ds:schemaRef ds:uri="02ee3745-ca02-4761-bcff-17af38069b29"/>
  </ds:schemaRefs>
</ds:datastoreItem>
</file>

<file path=customXml/itemProps3.xml><?xml version="1.0" encoding="utf-8"?>
<ds:datastoreItem xmlns:ds="http://schemas.openxmlformats.org/officeDocument/2006/customXml" ds:itemID="{D11E3BC8-C6B3-4242-89DC-9C5F69454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e3745-ca02-4761-bcff-17af38069b29"/>
    <ds:schemaRef ds:uri="8835b0d3-8c9d-4bb0-b25d-dd520b6fc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9cc48d-6fba-4c12-9882-137473def580}" enabled="1" method="Privileged" siteId="{d3a2d0d3-7cc8-4f52-bbf9-85bd43d9427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5698</Characters>
  <Application>Microsoft Office Word</Application>
  <DocSecurity>4</DocSecurity>
  <Lines>123</Lines>
  <Paragraphs>78</Paragraphs>
  <ScaleCrop>false</ScaleCrop>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Braybrook</dc:creator>
  <cp:keywords/>
  <dc:description/>
  <cp:lastModifiedBy>Gail Braybrook</cp:lastModifiedBy>
  <cp:revision>2</cp:revision>
  <dcterms:created xsi:type="dcterms:W3CDTF">2026-09-16T10:36:00Z</dcterms:created>
  <dcterms:modified xsi:type="dcterms:W3CDTF">2026-09-16T10:36:00Z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0x010100F4800861CCC66140BDB54C7CDCFF0F1D</vt:lpwstr>
  </property>
  <property fmtid="{D5CDD505-2E9C-101B-9397-08002B2CF9AE}" pid="3" name="ClassificationContentMarkingHeaderShapeIds">
    <vt:lpwstr>4c1a268b,340c55c7,381c5e1a</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ClassificationContentMarkingFooterShapeIds">
    <vt:lpwstr>4e939b78,1b7a2f69,44e33b93</vt:lpwstr>
  </property>
  <property fmtid="{D5CDD505-2E9C-101B-9397-08002B2CF9AE}" pid="7" name="ClassificationContentMarkingFooterFontProps">
    <vt:lpwstr>#000000,10,Aptos</vt:lpwstr>
  </property>
  <property fmtid="{D5CDD505-2E9C-101B-9397-08002B2CF9AE}" pid="8" name="ClassificationContentMarkingFooterText">
    <vt:lpwstr>OFFICIAL</vt:lpwstr>
  </property>
  <property fmtid="{D5CDD505-2E9C-101B-9397-08002B2CF9AE}" pid="9" name="MediaServiceImageTags">
    <vt:lpwstr/>
  </property>
</Properties>
</file>