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6745C" w14:textId="77777777" w:rsidR="00A60A19" w:rsidRPr="00A60A19" w:rsidRDefault="00A60A19" w:rsidP="00A60A19">
      <w:r w:rsidRPr="00A60A19">
        <w:rPr>
          <w:b/>
          <w:bCs/>
        </w:rPr>
        <w:t>Diplomatic Advisory Hub Webinar, 14 July 2026</w:t>
      </w:r>
    </w:p>
    <w:p w14:paraId="0DCAE370" w14:textId="1B905972" w:rsidR="00A60A19" w:rsidRPr="00A60A19" w:rsidRDefault="00A60A19" w:rsidP="00A60A19">
      <w:r w:rsidRPr="00A60A19">
        <w:t>The</w:t>
      </w:r>
      <w:r>
        <w:t xml:space="preserve"> Diplomatic Advisory Hub (DAH)</w:t>
      </w:r>
      <w:r w:rsidRPr="00A60A19">
        <w:t xml:space="preserve"> convened an expert panel on 14 July to discuss opportunities and practical considerations for UK businesses looking to export to, or expand within, the United States. The session was chaired by Richard Oppenheim, Director of the Diplomatic Advisory Hub, </w:t>
      </w:r>
      <w:r>
        <w:t>with</w:t>
      </w:r>
      <w:r w:rsidRPr="00A60A19">
        <w:t xml:space="preserve"> Oliver Christian</w:t>
      </w:r>
      <w:r>
        <w:t xml:space="preserve"> (</w:t>
      </w:r>
      <w:r w:rsidRPr="00A60A19">
        <w:t>His Majesty’s Trade Commissioner for North America and His Majesty’s Consul General to New York</w:t>
      </w:r>
      <w:r>
        <w:t>),</w:t>
      </w:r>
      <w:r w:rsidRPr="00A60A19">
        <w:t xml:space="preserve"> Richard Hyde </w:t>
      </w:r>
      <w:r>
        <w:t>(</w:t>
      </w:r>
      <w:r w:rsidRPr="00A60A19">
        <w:t>His Majesty’s Consul General in Chicago</w:t>
      </w:r>
      <w:r>
        <w:t>),</w:t>
      </w:r>
      <w:r w:rsidRPr="00A60A19">
        <w:t xml:space="preserve"> Terrand Smith</w:t>
      </w:r>
      <w:r w:rsidRPr="00A60A19">
        <w:t xml:space="preserve"> </w:t>
      </w:r>
      <w:r>
        <w:t>(</w:t>
      </w:r>
      <w:r w:rsidRPr="00A60A19">
        <w:t>Founder and CEO of 37 Oaks</w:t>
      </w:r>
      <w:r>
        <w:t>),</w:t>
      </w:r>
      <w:r w:rsidRPr="00A60A19">
        <w:t xml:space="preserve"> and Peter Badenhuizen</w:t>
      </w:r>
      <w:r>
        <w:t xml:space="preserve"> (</w:t>
      </w:r>
      <w:r w:rsidRPr="00A60A19">
        <w:t>Senior Partner in Deloitte’s US business tax group</w:t>
      </w:r>
      <w:r>
        <w:t>).</w:t>
      </w:r>
    </w:p>
    <w:p w14:paraId="3B83F676" w14:textId="043C5E11" w:rsidR="00A60A19" w:rsidRPr="00A60A19" w:rsidRDefault="00A60A19" w:rsidP="00A60A19">
      <w:r w:rsidRPr="00A60A19">
        <w:t xml:space="preserve">Richard Oppenheim opened by setting out the DAH’s role in providing UK businesses with access to expert geopolitical insight, real-time market intelligence and cross-government expertise. The discussion was framed around helping businesses understand whether the US should be approached as one market or as a series of distinct state, regional and sector markets, and how firms can make informed decisions about market entry, compliance, distribution and growth. </w:t>
      </w:r>
    </w:p>
    <w:p w14:paraId="5092DE3D" w14:textId="08895861" w:rsidR="00A60A19" w:rsidRPr="00A60A19" w:rsidRDefault="00A60A19" w:rsidP="00A60A19">
      <w:r w:rsidRPr="00A60A19">
        <w:t xml:space="preserve">Oliver Christian began with an overview of the UK-US economic relationship, describing it as strong and strategically important for the UK’s growth, trade and small business agendas. He highlighted the scale of the US opportunity, noting that the US is the UK’s largest single export market and that the bilateral economic relationship supports jobs, investment and business growth on both sides of the Atlantic. He also pointed to recent UK-US agreements, including measures to support businesses in sectors such as pharmaceuticals, medtech, automotive, aerospace and steel, and emphasised that UK Government support is available to exporters through business.gov.uk and the Department for Business and Trade network. </w:t>
      </w:r>
      <w:r w:rsidRPr="00A60A19">
        <w:t xml:space="preserve"> </w:t>
      </w:r>
    </w:p>
    <w:p w14:paraId="2D64AE0B" w14:textId="3FE8ABFB" w:rsidR="00A60A19" w:rsidRPr="00A60A19" w:rsidRDefault="00A60A19" w:rsidP="00A60A19">
      <w:r w:rsidRPr="00A60A19">
        <w:t>Richard Hyde then addressed the central question of whether the US is one market or fifty, arguing that it is both. While the US has one currency, a broad common business language and a federal legal framework, he stressed that it often behaves commercially as a series of state, regional and sector markets. He advised firms not to try to “conquer America”, but instead to develop a focused hypothesis about where their customers, buyers, partners and supply chains are located. He encouraged businesses to begin with a sector-led approach, identify the most relevant state or cluster, build local credibility and expand only once a clear product-market fit has been established</w:t>
      </w:r>
      <w:r>
        <w:t>.</w:t>
      </w:r>
    </w:p>
    <w:p w14:paraId="0A759459" w14:textId="6C9E23E1" w:rsidR="00A60A19" w:rsidRPr="00A60A19" w:rsidRDefault="00A60A19" w:rsidP="00A60A19">
      <w:r w:rsidRPr="00A60A19">
        <w:t xml:space="preserve">Terrand Smith provided a market practitioner’s perspective, describing the US as dynamic, competitive and opportunity-rich, but also highly complex. She emphasised the importance of readiness and preparation, particularly for consumer-facing businesses seeking to enter retail, e-commerce, wholesale or distribution channels. She advised firms to understand the specific problem their product solves, identify the right target audience, and avoid assuming that brand positioning or customer </w:t>
      </w:r>
      <w:r w:rsidRPr="00A60A19">
        <w:lastRenderedPageBreak/>
        <w:t xml:space="preserve">segmentation that works in the UK will translate directly to the US. She also highlighted the distinction between “getting in” and “staying in” the market, noting that long-term success depends on ensuring products continue to move once they reach shelves or platforms. </w:t>
      </w:r>
    </w:p>
    <w:p w14:paraId="5BC8BE39" w14:textId="0AA53B4E" w:rsidR="00A60A19" w:rsidRPr="00A60A19" w:rsidRDefault="00A60A19" w:rsidP="00A60A19">
      <w:r w:rsidRPr="00A60A19">
        <w:t>Peter Badenhuizen focused on the operational and compliance realities of doing business in the US. He set out four key considerations: market reality, entry strategy, execution and the wider external environment. He reinforced the importance of following demand rather than geography, noting that a first customer or anchor relationship can often provide the basis for a route-to-market strategy. He also underlined that entering the US is not just a growth opportunity but an operational and compliance challenge, with businesses needing to navigate federal, state and local tax rules, sales tax, employment obligations, payroll, immigration, visas and state-based data privacy requirements.</w:t>
      </w:r>
      <w:r w:rsidRPr="00A60A19">
        <w:t xml:space="preserve"> </w:t>
      </w:r>
    </w:p>
    <w:p w14:paraId="3F366AC5" w14:textId="7FE0D86D" w:rsidR="00A60A19" w:rsidRPr="00A60A19" w:rsidRDefault="00A60A19" w:rsidP="00A60A19">
      <w:r w:rsidRPr="00A60A19">
        <w:t xml:space="preserve">The discussion explored the practical support available to UK firms. Oliver Christian highlighted the International Market Service for SMEs, accessed through business.gov.uk, which offers eligible export-ready UK SMEs tailored in-market support. Panellists also pointed to the role of trade associations, local chambers of commerce, state economic development agencies, sector-specific missions and major trade shows as routes for firms to test demand, develop relationships and access peer learning. </w:t>
      </w:r>
    </w:p>
    <w:p w14:paraId="25AAEE25" w14:textId="6FDBDD88" w:rsidR="00A60A19" w:rsidRPr="00A60A19" w:rsidRDefault="00A60A19" w:rsidP="00A60A19">
      <w:r w:rsidRPr="00A60A19">
        <w:t xml:space="preserve">A strong theme throughout the discussion was the need to take professional advice early. Speakers noted that US business culture often places greater emphasis than the UK on early use of lawyers, accountants and specialist advisers, particularly in areas such as tax, immigration, product regulation, employment, labelling, licensing and state-level compliance. Panellists advised firms operating in regulated sectors, including health, life sciences, food and beverages, automotive and data-related industries, to understand relevant federal and state requirements before committing to market entry or expansion. </w:t>
      </w:r>
    </w:p>
    <w:p w14:paraId="297ECE78" w14:textId="60CEA80F" w:rsidR="00A60A19" w:rsidRPr="00A60A19" w:rsidRDefault="00A60A19" w:rsidP="00A60A19">
      <w:r w:rsidRPr="00A60A19">
        <w:t xml:space="preserve">During the Q&amp;A, participants raised questions on labour mobility, compliance, Amazon AWD and FBA, third-party logistics providers, landed costs, sales tax, education technology, B2B relationship-building, distributor models and state-specific product requirements. Panellists advised businesses to consider whether a US-based 3PL provider could reduce lead times, to assess carefully where title passes for goods, and to draw on industry bodies and peer experience when navigating tariff, tax and supply chain uncertainty. They also encouraged firms without existing US connections to build relationships through targeted regional engagement, trade associations, sector missions and boots-on-the-ground business development. </w:t>
      </w:r>
    </w:p>
    <w:p w14:paraId="00C3A0F2" w14:textId="731238D0" w:rsidR="00A60A19" w:rsidRPr="00A60A19" w:rsidRDefault="00A60A19" w:rsidP="00A60A19">
      <w:r w:rsidRPr="00A60A19">
        <w:lastRenderedPageBreak/>
        <w:t xml:space="preserve">The panel consistently emphasised that the US offers a major prize for UK businesses, but that success depends on disciplined targeting, local knowledge and a realistic assessment of operational complexity. Businesses were encouraged to be ambitious about the opportunity, but selective about their starting point: choosing the right state, region, sector cluster, partner or customer base before scaling more widely. </w:t>
      </w:r>
    </w:p>
    <w:p w14:paraId="6C022519" w14:textId="1D1A7CF3" w:rsidR="00A60A19" w:rsidRPr="00A60A19" w:rsidRDefault="00A60A19" w:rsidP="00A60A19">
      <w:r w:rsidRPr="00A60A19">
        <w:t xml:space="preserve">In closing, speakers reiterated that the US remains an attractive and high-growth market for UK exporters, but one that requires careful preparation, early advice and a clear market-entry strategy. The DAH encouraged businesses to submit unanswered questions through the Diplomatic Advisory Hub contact form and to provide feedback to shape future webinars, including planned sessions on the EU and Australia as export markets. </w:t>
      </w:r>
    </w:p>
    <w:p w14:paraId="23F4B5FC" w14:textId="77777777" w:rsidR="00A60A19" w:rsidRDefault="00A60A19"/>
    <w:sectPr w:rsidR="00A60A1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02369" w14:textId="77777777" w:rsidR="00552213" w:rsidRDefault="00552213" w:rsidP="00A60A19">
      <w:pPr>
        <w:spacing w:after="0" w:line="240" w:lineRule="auto"/>
      </w:pPr>
      <w:r>
        <w:separator/>
      </w:r>
    </w:p>
  </w:endnote>
  <w:endnote w:type="continuationSeparator" w:id="0">
    <w:p w14:paraId="325F312A" w14:textId="77777777" w:rsidR="00552213" w:rsidRDefault="00552213" w:rsidP="00A60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69C7" w14:textId="7FBC59BB" w:rsidR="00A60A19" w:rsidRDefault="00A60A19">
    <w:pPr>
      <w:pStyle w:val="Footer"/>
    </w:pPr>
    <w:r>
      <w:rPr>
        <w:noProof/>
      </w:rPr>
      <mc:AlternateContent>
        <mc:Choice Requires="wps">
          <w:drawing>
            <wp:anchor distT="0" distB="0" distL="0" distR="0" simplePos="0" relativeHeight="251662336" behindDoc="0" locked="0" layoutInCell="1" allowOverlap="1" wp14:anchorId="77CB5E2B" wp14:editId="37D30012">
              <wp:simplePos x="635" y="635"/>
              <wp:positionH relativeFrom="page">
                <wp:align>center</wp:align>
              </wp:positionH>
              <wp:positionV relativeFrom="page">
                <wp:align>bottom</wp:align>
              </wp:positionV>
              <wp:extent cx="518795" cy="370205"/>
              <wp:effectExtent l="0" t="0" r="14605" b="0"/>
              <wp:wrapNone/>
              <wp:docPr id="190036313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AEB2050" w14:textId="39436FB6"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CB5E2B" id="_x0000_t202" coordsize="21600,21600" o:spt="202" path="m,l,21600r21600,l21600,xe">
              <v:stroke joinstyle="miter"/>
              <v:path gradientshapeok="t" o:connecttype="rect"/>
            </v:shapetype>
            <v:shape id="Text Box 5" o:spid="_x0000_s1028" type="#_x0000_t202" alt="OFFICIAL" style="position:absolute;margin-left:0;margin-top:0;width:40.85pt;height:29.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nEdG2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4AEB2050" w14:textId="39436FB6"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7060" w14:textId="5B049D7F" w:rsidR="00A60A19" w:rsidRDefault="00A60A19">
    <w:pPr>
      <w:pStyle w:val="Footer"/>
    </w:pPr>
    <w:r>
      <w:rPr>
        <w:noProof/>
      </w:rPr>
      <mc:AlternateContent>
        <mc:Choice Requires="wps">
          <w:drawing>
            <wp:anchor distT="0" distB="0" distL="0" distR="0" simplePos="0" relativeHeight="251663360" behindDoc="0" locked="0" layoutInCell="1" allowOverlap="1" wp14:anchorId="5B1AEF2C" wp14:editId="4A33DCBA">
              <wp:simplePos x="914400" y="10058400"/>
              <wp:positionH relativeFrom="page">
                <wp:align>center</wp:align>
              </wp:positionH>
              <wp:positionV relativeFrom="page">
                <wp:align>bottom</wp:align>
              </wp:positionV>
              <wp:extent cx="518795" cy="370205"/>
              <wp:effectExtent l="0" t="0" r="14605" b="0"/>
              <wp:wrapNone/>
              <wp:docPr id="12386900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4206ADD7" w14:textId="1547D777"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1AEF2C" id="_x0000_t202" coordsize="21600,21600" o:spt="202" path="m,l,21600r21600,l21600,xe">
              <v:stroke joinstyle="miter"/>
              <v:path gradientshapeok="t" o:connecttype="rect"/>
            </v:shapetype>
            <v:shape id="Text Box 6" o:spid="_x0000_s1029" type="#_x0000_t202" alt="OFFICIAL" style="position:absolute;margin-left:0;margin-top:0;width:40.85pt;height:29.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OL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io/d76A60VAIw769k+uGSm+ED08CacE0B4k2&#10;PNKhW+hKDmeLsxrw59/8MZ94pyhnHQmm5JYUzVn73dI+orZGA0djl4zpTT7PKW4P5g5IhlN6EU4m&#10;k7wY2tHUCOaF5LyKhSgkrKRyJd+N5l0YlEvPQarVKiWRjJwIG7t1MkJHuiKXz/2LQHcmPNCmHmBU&#10;kyje8T7kxpverQ6B2E9LidQORJ4ZJwmmtZ6fS9T42/+UdXnUy1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DKrmOL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4206ADD7" w14:textId="1547D777"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B53F" w14:textId="10197986" w:rsidR="00A60A19" w:rsidRDefault="00A60A19">
    <w:pPr>
      <w:pStyle w:val="Footer"/>
    </w:pPr>
    <w:r>
      <w:rPr>
        <w:noProof/>
      </w:rPr>
      <mc:AlternateContent>
        <mc:Choice Requires="wps">
          <w:drawing>
            <wp:anchor distT="0" distB="0" distL="0" distR="0" simplePos="0" relativeHeight="251661312" behindDoc="0" locked="0" layoutInCell="1" allowOverlap="1" wp14:anchorId="3C57D522" wp14:editId="1C23347C">
              <wp:simplePos x="635" y="635"/>
              <wp:positionH relativeFrom="page">
                <wp:align>center</wp:align>
              </wp:positionH>
              <wp:positionV relativeFrom="page">
                <wp:align>bottom</wp:align>
              </wp:positionV>
              <wp:extent cx="518795" cy="370205"/>
              <wp:effectExtent l="0" t="0" r="14605" b="0"/>
              <wp:wrapNone/>
              <wp:docPr id="186694169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7076E43" w14:textId="731E0A6E"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57D522" id="_x0000_t202" coordsize="21600,21600" o:spt="202" path="m,l,21600r21600,l21600,xe">
              <v:stroke joinstyle="miter"/>
              <v:path gradientshapeok="t" o:connecttype="rect"/>
            </v:shapetype>
            <v:shape id="Text Box 4" o:spid="_x0000_s1031" type="#_x0000_t202" alt="OFFICIAL" style="position:absolute;margin-left:0;margin-top:0;width:40.85pt;height:29.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" filled="f" stroked="f">
              <v:fill o:detectmouseclick="t"/>
              <v:textbox style="mso-fit-shape-to-text:t" inset="0,0,0,15pt">
                <w:txbxContent>
                  <w:p w14:paraId="77076E43" w14:textId="731E0A6E"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00422" w14:textId="77777777" w:rsidR="00552213" w:rsidRDefault="00552213" w:rsidP="00A60A19">
      <w:pPr>
        <w:spacing w:after="0" w:line="240" w:lineRule="auto"/>
      </w:pPr>
      <w:r>
        <w:separator/>
      </w:r>
    </w:p>
  </w:footnote>
  <w:footnote w:type="continuationSeparator" w:id="0">
    <w:p w14:paraId="16039C44" w14:textId="77777777" w:rsidR="00552213" w:rsidRDefault="00552213" w:rsidP="00A60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D0FEF" w14:textId="70FA79DC" w:rsidR="00A60A19" w:rsidRDefault="00A60A19">
    <w:pPr>
      <w:pStyle w:val="Header"/>
    </w:pPr>
    <w:r>
      <w:rPr>
        <w:noProof/>
      </w:rPr>
      <mc:AlternateContent>
        <mc:Choice Requires="wps">
          <w:drawing>
            <wp:anchor distT="0" distB="0" distL="0" distR="0" simplePos="0" relativeHeight="251659264" behindDoc="0" locked="0" layoutInCell="1" allowOverlap="1" wp14:anchorId="5421E209" wp14:editId="37CF449B">
              <wp:simplePos x="635" y="635"/>
              <wp:positionH relativeFrom="page">
                <wp:align>center</wp:align>
              </wp:positionH>
              <wp:positionV relativeFrom="page">
                <wp:align>top</wp:align>
              </wp:positionV>
              <wp:extent cx="518795" cy="370205"/>
              <wp:effectExtent l="0" t="0" r="14605" b="10795"/>
              <wp:wrapNone/>
              <wp:docPr id="121657034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39FE91B" w14:textId="58BE936A"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21E209" id="_x0000_t202" coordsize="21600,21600" o:spt="202" path="m,l,21600r21600,l21600,xe">
              <v:stroke joinstyle="miter"/>
              <v:path gradientshapeok="t" o:connecttype="rect"/>
            </v:shapetype>
            <v:shape id="Text Box 2" o:spid="_x0000_s1026" type="#_x0000_t202" alt="OFFICIAL" style="position:absolute;margin-left:0;margin-top:0;width:40.85pt;height:29.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" filled="f" stroked="f">
              <v:fill o:detectmouseclick="t"/>
              <v:textbox style="mso-fit-shape-to-text:t" inset="0,15pt,0,0">
                <w:txbxContent>
                  <w:p w14:paraId="739FE91B" w14:textId="58BE936A"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9BFAE" w14:textId="615056EE" w:rsidR="00A60A19" w:rsidRDefault="00A60A19">
    <w:pPr>
      <w:pStyle w:val="Header"/>
    </w:pPr>
    <w:r>
      <w:rPr>
        <w:noProof/>
      </w:rPr>
      <mc:AlternateContent>
        <mc:Choice Requires="wps">
          <w:drawing>
            <wp:anchor distT="0" distB="0" distL="0" distR="0" simplePos="0" relativeHeight="251660288" behindDoc="0" locked="0" layoutInCell="1" allowOverlap="1" wp14:anchorId="6223C572" wp14:editId="2E47F096">
              <wp:simplePos x="914400" y="450850"/>
              <wp:positionH relativeFrom="page">
                <wp:align>center</wp:align>
              </wp:positionH>
              <wp:positionV relativeFrom="page">
                <wp:align>top</wp:align>
              </wp:positionV>
              <wp:extent cx="518795" cy="370205"/>
              <wp:effectExtent l="0" t="0" r="14605" b="10795"/>
              <wp:wrapNone/>
              <wp:docPr id="340357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7CA8579E" w14:textId="6136400F"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23C572" id="_x0000_t202" coordsize="21600,21600" o:spt="202" path="m,l,21600r21600,l21600,xe">
              <v:stroke joinstyle="miter"/>
              <v:path gradientshapeok="t" o:connecttype="rect"/>
            </v:shapetype>
            <v:shape id="Text Box 3" o:spid="_x0000_s1027" type="#_x0000_t202" alt="OFFICIAL" style="position:absolute;margin-left:0;margin-top:0;width:40.85pt;height:29.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" filled="f" stroked="f">
              <v:fill o:detectmouseclick="t"/>
              <v:textbox style="mso-fit-shape-to-text:t" inset="0,15pt,0,0">
                <w:txbxContent>
                  <w:p w14:paraId="7CA8579E" w14:textId="6136400F"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F597F" w14:textId="7C6BBB62" w:rsidR="00A60A19" w:rsidRDefault="00A60A19">
    <w:pPr>
      <w:pStyle w:val="Header"/>
    </w:pPr>
    <w:r>
      <w:rPr>
        <w:noProof/>
      </w:rPr>
      <mc:AlternateContent>
        <mc:Choice Requires="wps">
          <w:drawing>
            <wp:anchor distT="0" distB="0" distL="0" distR="0" simplePos="0" relativeHeight="251658240" behindDoc="0" locked="0" layoutInCell="1" allowOverlap="1" wp14:anchorId="4C008687" wp14:editId="32D11DD1">
              <wp:simplePos x="635" y="635"/>
              <wp:positionH relativeFrom="page">
                <wp:align>center</wp:align>
              </wp:positionH>
              <wp:positionV relativeFrom="page">
                <wp:align>top</wp:align>
              </wp:positionV>
              <wp:extent cx="518795" cy="370205"/>
              <wp:effectExtent l="0" t="0" r="14605" b="10795"/>
              <wp:wrapNone/>
              <wp:docPr id="119423101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70205"/>
                      </a:xfrm>
                      <a:prstGeom prst="rect">
                        <a:avLst/>
                      </a:prstGeom>
                      <a:noFill/>
                      <a:ln>
                        <a:noFill/>
                      </a:ln>
                    </wps:spPr>
                    <wps:txbx>
                      <w:txbxContent>
                        <w:p w14:paraId="1BBC2DD2" w14:textId="1D369387"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008687" id="_x0000_t202" coordsize="21600,21600" o:spt="202" path="m,l,21600r21600,l21600,xe">
              <v:stroke joinstyle="miter"/>
              <v:path gradientshapeok="t" o:connecttype="rect"/>
            </v:shapetype>
            <v:shape id="Text Box 1" o:spid="_x0000_s1030" type="#_x0000_t202" alt="OFFICIAL" style="position:absolute;margin-left:0;margin-top:0;width:40.85pt;height:29.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" filled="f" stroked="f">
              <v:fill o:detectmouseclick="t"/>
              <v:textbox style="mso-fit-shape-to-text:t" inset="0,15pt,0,0">
                <w:txbxContent>
                  <w:p w14:paraId="1BBC2DD2" w14:textId="1D369387" w:rsidR="00A60A19" w:rsidRPr="00A60A19" w:rsidRDefault="00A60A19" w:rsidP="00A60A19">
                    <w:pPr>
                      <w:spacing w:after="0"/>
                      <w:rPr>
                        <w:rFonts w:ascii="Aptos" w:eastAsia="Aptos" w:hAnsi="Aptos" w:cs="Aptos"/>
                        <w:noProof/>
                        <w:color w:val="000000"/>
                        <w:sz w:val="20"/>
                        <w:szCs w:val="20"/>
                      </w:rPr>
                    </w:pPr>
                    <w:r w:rsidRPr="00A60A19">
                      <w:rPr>
                        <w:rFonts w:ascii="Aptos" w:eastAsia="Aptos" w:hAnsi="Aptos" w:cs="Aptos"/>
                        <w:noProof/>
                        <w:color w:val="000000"/>
                        <w:sz w:val="20"/>
                        <w:szCs w:val="20"/>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A19"/>
    <w:rsid w:val="00552213"/>
    <w:rsid w:val="00A60A19"/>
    <w:rsid w:val="00E47B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34767"/>
  <w15:chartTrackingRefBased/>
  <w15:docId w15:val="{303FF6D1-16FA-403E-96F7-E94D5D2DC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A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0A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0A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0A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0A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0A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0A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0A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0A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A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0A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0A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0A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0A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0A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0A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0A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0A19"/>
    <w:rPr>
      <w:rFonts w:eastAsiaTheme="majorEastAsia" w:cstheme="majorBidi"/>
      <w:color w:val="272727" w:themeColor="text1" w:themeTint="D8"/>
    </w:rPr>
  </w:style>
  <w:style w:type="paragraph" w:styleId="Title">
    <w:name w:val="Title"/>
    <w:basedOn w:val="Normal"/>
    <w:next w:val="Normal"/>
    <w:link w:val="TitleChar"/>
    <w:uiPriority w:val="10"/>
    <w:qFormat/>
    <w:rsid w:val="00A60A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0A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0A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0A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0A19"/>
    <w:pPr>
      <w:spacing w:before="160"/>
      <w:jc w:val="center"/>
    </w:pPr>
    <w:rPr>
      <w:i/>
      <w:iCs/>
      <w:color w:val="404040" w:themeColor="text1" w:themeTint="BF"/>
    </w:rPr>
  </w:style>
  <w:style w:type="character" w:customStyle="1" w:styleId="QuoteChar">
    <w:name w:val="Quote Char"/>
    <w:basedOn w:val="DefaultParagraphFont"/>
    <w:link w:val="Quote"/>
    <w:uiPriority w:val="29"/>
    <w:rsid w:val="00A60A19"/>
    <w:rPr>
      <w:i/>
      <w:iCs/>
      <w:color w:val="404040" w:themeColor="text1" w:themeTint="BF"/>
    </w:rPr>
  </w:style>
  <w:style w:type="paragraph" w:styleId="ListParagraph">
    <w:name w:val="List Paragraph"/>
    <w:basedOn w:val="Normal"/>
    <w:uiPriority w:val="34"/>
    <w:qFormat/>
    <w:rsid w:val="00A60A19"/>
    <w:pPr>
      <w:ind w:left="720"/>
      <w:contextualSpacing/>
    </w:pPr>
  </w:style>
  <w:style w:type="character" w:styleId="IntenseEmphasis">
    <w:name w:val="Intense Emphasis"/>
    <w:basedOn w:val="DefaultParagraphFont"/>
    <w:uiPriority w:val="21"/>
    <w:qFormat/>
    <w:rsid w:val="00A60A19"/>
    <w:rPr>
      <w:i/>
      <w:iCs/>
      <w:color w:val="0F4761" w:themeColor="accent1" w:themeShade="BF"/>
    </w:rPr>
  </w:style>
  <w:style w:type="paragraph" w:styleId="IntenseQuote">
    <w:name w:val="Intense Quote"/>
    <w:basedOn w:val="Normal"/>
    <w:next w:val="Normal"/>
    <w:link w:val="IntenseQuoteChar"/>
    <w:uiPriority w:val="30"/>
    <w:qFormat/>
    <w:rsid w:val="00A60A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0A19"/>
    <w:rPr>
      <w:i/>
      <w:iCs/>
      <w:color w:val="0F4761" w:themeColor="accent1" w:themeShade="BF"/>
    </w:rPr>
  </w:style>
  <w:style w:type="character" w:styleId="IntenseReference">
    <w:name w:val="Intense Reference"/>
    <w:basedOn w:val="DefaultParagraphFont"/>
    <w:uiPriority w:val="32"/>
    <w:qFormat/>
    <w:rsid w:val="00A60A19"/>
    <w:rPr>
      <w:b/>
      <w:bCs/>
      <w:smallCaps/>
      <w:color w:val="0F4761" w:themeColor="accent1" w:themeShade="BF"/>
      <w:spacing w:val="5"/>
    </w:rPr>
  </w:style>
  <w:style w:type="character" w:styleId="Hyperlink">
    <w:name w:val="Hyperlink"/>
    <w:basedOn w:val="DefaultParagraphFont"/>
    <w:uiPriority w:val="99"/>
    <w:unhideWhenUsed/>
    <w:rsid w:val="00A60A19"/>
    <w:rPr>
      <w:color w:val="467886" w:themeColor="hyperlink"/>
      <w:u w:val="single"/>
    </w:rPr>
  </w:style>
  <w:style w:type="character" w:styleId="UnresolvedMention">
    <w:name w:val="Unresolved Mention"/>
    <w:basedOn w:val="DefaultParagraphFont"/>
    <w:uiPriority w:val="99"/>
    <w:semiHidden/>
    <w:unhideWhenUsed/>
    <w:rsid w:val="00A60A19"/>
    <w:rPr>
      <w:color w:val="605E5C"/>
      <w:shd w:val="clear" w:color="auto" w:fill="E1DFDD"/>
    </w:rPr>
  </w:style>
  <w:style w:type="paragraph" w:styleId="Header">
    <w:name w:val="header"/>
    <w:basedOn w:val="Normal"/>
    <w:link w:val="HeaderChar"/>
    <w:uiPriority w:val="99"/>
    <w:unhideWhenUsed/>
    <w:rsid w:val="00A60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0A19"/>
  </w:style>
  <w:style w:type="paragraph" w:styleId="Footer">
    <w:name w:val="footer"/>
    <w:basedOn w:val="Normal"/>
    <w:link w:val="FooterChar"/>
    <w:uiPriority w:val="99"/>
    <w:unhideWhenUsed/>
    <w:rsid w:val="00A60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0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800861CCC66140BDB54C7CDCFF0F1D" ma:contentTypeVersion="12" ma:contentTypeDescription="Create a new document." ma:contentTypeScope="" ma:versionID="c4939898534bf7958f403c209e66e05b">
  <xsd:schema xmlns:xsd="http://www.w3.org/2001/XMLSchema" xmlns:xs="http://www.w3.org/2001/XMLSchema" xmlns:p="http://schemas.microsoft.com/office/2006/metadata/properties" xmlns:ns2="02ee3745-ca02-4761-bcff-17af38069b29" xmlns:ns3="8835b0d3-8c9d-4bb0-b25d-dd520b6fcd3e" targetNamespace="http://schemas.microsoft.com/office/2006/metadata/properties" ma:root="true" ma:fieldsID="39bb96a8b40ca0bd8fd0340cee820798" ns2:_="" ns3:_="">
    <xsd:import namespace="02ee3745-ca02-4761-bcff-17af38069b29"/>
    <xsd:import namespace="8835b0d3-8c9d-4bb0-b25d-dd520b6fcd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e3745-ca02-4761-bcff-17af38069b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14f66ec-a8c1-4b1a-8264-b59a49a9c55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35b0d3-8c9d-4bb0-b25d-dd520b6fcd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a089083-069b-4acf-a64d-d9446ed5cfa0}" ma:internalName="TaxCatchAll" ma:showField="CatchAllData" ma:web="8835b0d3-8c9d-4bb0-b25d-dd520b6fc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35b0d3-8c9d-4bb0-b25d-dd520b6fcd3e" xsi:nil="true"/>
    <lcf76f155ced4ddcb4097134ff3c332f xmlns="02ee3745-ca02-4761-bcff-17af38069b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A9961A-047E-4475-8687-0302A8B7C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e3745-ca02-4761-bcff-17af38069b29"/>
    <ds:schemaRef ds:uri="8835b0d3-8c9d-4bb0-b25d-dd520b6fc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72FC7E-355D-4BAD-9ECE-EE7D00C94C9E}">
  <ds:schemaRefs>
    <ds:schemaRef ds:uri="http://schemas.microsoft.com/sharepoint/v3/contenttype/forms"/>
  </ds:schemaRefs>
</ds:datastoreItem>
</file>

<file path=customXml/itemProps3.xml><?xml version="1.0" encoding="utf-8"?>
<ds:datastoreItem xmlns:ds="http://schemas.openxmlformats.org/officeDocument/2006/customXml" ds:itemID="{262921D2-05AB-4308-B25A-D971ED803D46}">
  <ds:schemaRefs>
    <ds:schemaRef ds:uri="http://schemas.microsoft.com/office/2006/metadata/properties"/>
    <ds:schemaRef ds:uri="http://schemas.microsoft.com/office/infopath/2007/PartnerControls"/>
    <ds:schemaRef ds:uri="8835b0d3-8c9d-4bb0-b25d-dd520b6fcd3e"/>
    <ds:schemaRef ds:uri="02ee3745-ca02-4761-bcff-17af38069b29"/>
  </ds:schemaRefs>
</ds:datastoreItem>
</file>

<file path=docMetadata/LabelInfo.xml><?xml version="1.0" encoding="utf-8"?>
<clbl:labelList xmlns:clbl="http://schemas.microsoft.com/office/2020/mipLabelMetadata">
  <clbl:label id="{9e9cc48d-6fba-4c12-9882-137473def580}" enabled="1" method="Privileged" siteId="{d3a2d0d3-7cc8-4f52-bbf9-85bd43d94279}" contentBits="3"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960</Words>
  <Characters>5685</Characters>
  <Application>Microsoft Office Word</Application>
  <DocSecurity>0</DocSecurity>
  <Lines>86</Lines>
  <Paragraphs>13</Paragraphs>
  <ScaleCrop>false</ScaleCrop>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Merritt</dc:creator>
  <cp:keywords/>
  <dc:description/>
  <cp:lastModifiedBy>Charlie Merritt</cp:lastModifiedBy>
  <cp:revision>1</cp:revision>
  <dcterms:created xsi:type="dcterms:W3CDTF">2026-07-15T16:08:00Z</dcterms:created>
  <dcterms:modified xsi:type="dcterms:W3CDTF">2026-07-15T16:18:00Z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0x010100F4800861CCC66140BDB54C7CDCFF0F1D</vt:lpwstr>
  </property>
  <property fmtid="{D5CDD505-2E9C-101B-9397-08002B2CF9AE}" pid="3" name="ClassificationContentMarkingHeaderShapeIds">
    <vt:lpwstr>472e84e4,488363ea,33ef35</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ClassificationContentMarkingFooterShapeIds">
    <vt:lpwstr>6f474502,71453d80,49d4e91a</vt:lpwstr>
  </property>
  <property fmtid="{D5CDD505-2E9C-101B-9397-08002B2CF9AE}" pid="7" name="ClassificationContentMarkingFooterFontProps">
    <vt:lpwstr>#000000,10,Aptos</vt:lpwstr>
  </property>
  <property fmtid="{D5CDD505-2E9C-101B-9397-08002B2CF9AE}" pid="8" name="ClassificationContentMarkingFooterText">
    <vt:lpwstr>OFFICIAL</vt:lpwstr>
  </property>
  <property fmtid="{D5CDD505-2E9C-101B-9397-08002B2CF9AE}" pid="9" name="MediaServiceImageTags">
    <vt:lpwstr/>
  </property>
</Properties>
</file>