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CA70" w14:textId="36B81174" w:rsidR="00440AFC" w:rsidRPr="003A6A95" w:rsidRDefault="45148CC0">
      <w:pPr>
        <w:rPr>
          <w:rFonts w:ascii="Arial" w:hAnsi="Arial" w:cs="Arial"/>
          <w:sz w:val="24"/>
          <w:szCs w:val="24"/>
        </w:rPr>
      </w:pPr>
      <w:r w:rsidRPr="1C38B716">
        <w:rPr>
          <w:rFonts w:ascii="Arial" w:hAnsi="Arial" w:cs="Arial"/>
          <w:sz w:val="24"/>
          <w:szCs w:val="24"/>
        </w:rPr>
        <w:t xml:space="preserve">The Diplomatic Advisory Hub (DAH) convened an expert panel on 12 June to discuss opportunities and challenges for UK businesses operating in mainland China and Hong Kong. The session was chaired by Richard Oppenheim, Director of the DAH, with Steven Lynch (British Chambers of Commerce) facilitating discussion and Q&amp;A. The panel </w:t>
      </w:r>
      <w:r w:rsidR="00290662">
        <w:rPr>
          <w:rFonts w:ascii="Arial" w:hAnsi="Arial" w:cs="Arial"/>
          <w:sz w:val="24"/>
          <w:szCs w:val="24"/>
        </w:rPr>
        <w:t>comprised</w:t>
      </w:r>
      <w:r w:rsidRPr="1C38B716">
        <w:rPr>
          <w:rFonts w:ascii="Arial" w:hAnsi="Arial" w:cs="Arial"/>
          <w:sz w:val="24"/>
          <w:szCs w:val="24"/>
        </w:rPr>
        <w:t xml:space="preserve"> Lewis Neal (HM Trade Commissioner for China</w:t>
      </w:r>
      <w:r w:rsidR="6B5CB471" w:rsidRPr="1C38B716">
        <w:rPr>
          <w:rFonts w:ascii="Arial" w:hAnsi="Arial" w:cs="Arial"/>
          <w:sz w:val="24"/>
          <w:szCs w:val="24"/>
        </w:rPr>
        <w:t xml:space="preserve"> and Hong Kong</w:t>
      </w:r>
      <w:r w:rsidRPr="1C38B716">
        <w:rPr>
          <w:rFonts w:ascii="Arial" w:hAnsi="Arial" w:cs="Arial"/>
          <w:sz w:val="24"/>
          <w:szCs w:val="24"/>
        </w:rPr>
        <w:t>), Alex Bamford (Head of China Department, FCDO), Paul McComb (Executive Director, British Chamber of Commerce in Hong Kong), and Trey McArver (Co-founder, Trivium China).</w:t>
      </w:r>
    </w:p>
    <w:p w14:paraId="2C5EEAC1" w14:textId="77777777" w:rsidR="00440AFC" w:rsidRPr="003A6A95" w:rsidRDefault="00FF3097">
      <w:pPr>
        <w:rPr>
          <w:rFonts w:ascii="Arial" w:hAnsi="Arial" w:cs="Arial"/>
          <w:sz w:val="24"/>
          <w:szCs w:val="24"/>
        </w:rPr>
      </w:pPr>
      <w:r w:rsidRPr="003A6A95">
        <w:rPr>
          <w:rFonts w:ascii="Arial" w:hAnsi="Arial" w:cs="Arial"/>
          <w:sz w:val="24"/>
          <w:szCs w:val="24"/>
        </w:rPr>
        <w:t>Richard opened by setting out the DAH’s role in supporting UK firms with geopolitical insight, market intelligence and access to government expertise, noting that China remains one of the most frequently requested markets for advice. The discussion was framed around providing a clear-eyed assessment of both the opportunities and the risks, reflecting the increasing complexity of the global trading environment.</w:t>
      </w:r>
    </w:p>
    <w:p w14:paraId="5060AD34" w14:textId="77777777" w:rsidR="00440AFC" w:rsidRPr="003A6A95" w:rsidRDefault="00FF3097">
      <w:pPr>
        <w:rPr>
          <w:rFonts w:ascii="Arial" w:hAnsi="Arial" w:cs="Arial"/>
          <w:sz w:val="24"/>
          <w:szCs w:val="24"/>
        </w:rPr>
      </w:pPr>
      <w:r w:rsidRPr="003A6A95">
        <w:rPr>
          <w:rFonts w:ascii="Arial" w:hAnsi="Arial" w:cs="Arial"/>
          <w:sz w:val="24"/>
          <w:szCs w:val="24"/>
        </w:rPr>
        <w:t xml:space="preserve">Lewis Neal began with an overview of the current UK–China economic relationship, describing a period of relatively increased stability following senior political engagement, including the Prime Minister’s visit to Beijing earlier in the year. He </w:t>
      </w:r>
      <w:proofErr w:type="spellStart"/>
      <w:r w:rsidRPr="003A6A95">
        <w:rPr>
          <w:rFonts w:ascii="Arial" w:hAnsi="Arial" w:cs="Arial"/>
          <w:sz w:val="24"/>
          <w:szCs w:val="24"/>
        </w:rPr>
        <w:t>emphasised</w:t>
      </w:r>
      <w:proofErr w:type="spellEnd"/>
      <w:r w:rsidRPr="003A6A95">
        <w:rPr>
          <w:rFonts w:ascii="Arial" w:hAnsi="Arial" w:cs="Arial"/>
          <w:sz w:val="24"/>
          <w:szCs w:val="24"/>
        </w:rPr>
        <w:t xml:space="preserve"> the Government’s objective of supporting long-term, sustainable growth in bilateral trade, including efforts to reduce market access barriers and encourage new UK entrants. Lewis highlighted the scale of opportunity presented by China’s middle-class consumer market, particularly for high-quality, innovative UK goods across agri-food, beauty, lifestyle and consumer sectors. At the same time, he stressed that success requires a long-term approach, careful preparation, and a clear strategy around intellectual property, distribution and market entry, noting the highly competitive nature of the market and the need for firms to adapt products and business models to local conditions.</w:t>
      </w:r>
    </w:p>
    <w:p w14:paraId="27E17B7C" w14:textId="03C3DE3F" w:rsidR="00440AFC" w:rsidRPr="003A6A95" w:rsidRDefault="00FF3097">
      <w:pPr>
        <w:rPr>
          <w:rFonts w:ascii="Arial" w:hAnsi="Arial" w:cs="Arial"/>
          <w:sz w:val="24"/>
          <w:szCs w:val="24"/>
        </w:rPr>
      </w:pPr>
      <w:r w:rsidRPr="003A6A95">
        <w:rPr>
          <w:rFonts w:ascii="Arial" w:hAnsi="Arial" w:cs="Arial"/>
          <w:sz w:val="24"/>
          <w:szCs w:val="24"/>
        </w:rPr>
        <w:t>Alex Bamford placed this within the wider geopolitical and policy context, underlining that the UK is pursuing a</w:t>
      </w:r>
      <w:r w:rsidR="00FE1918">
        <w:rPr>
          <w:rFonts w:ascii="Arial" w:hAnsi="Arial" w:cs="Arial"/>
          <w:sz w:val="24"/>
          <w:szCs w:val="24"/>
        </w:rPr>
        <w:t xml:space="preserve"> long-term,</w:t>
      </w:r>
      <w:r w:rsidRPr="003A6A95">
        <w:rPr>
          <w:rFonts w:ascii="Arial" w:hAnsi="Arial" w:cs="Arial"/>
          <w:sz w:val="24"/>
          <w:szCs w:val="24"/>
        </w:rPr>
        <w:t xml:space="preserve"> strategic and consistent relationship with China that combines cooperation with challenge where necessary</w:t>
      </w:r>
      <w:r w:rsidR="00FE1918">
        <w:rPr>
          <w:rFonts w:ascii="Arial" w:hAnsi="Arial" w:cs="Arial"/>
          <w:sz w:val="24"/>
          <w:szCs w:val="24"/>
        </w:rPr>
        <w:t xml:space="preserve"> in the national interest</w:t>
      </w:r>
      <w:r w:rsidRPr="003A6A95">
        <w:rPr>
          <w:rFonts w:ascii="Arial" w:hAnsi="Arial" w:cs="Arial"/>
          <w:sz w:val="24"/>
          <w:szCs w:val="24"/>
        </w:rPr>
        <w:t xml:space="preserve">. He highlighted the increasing complexity of the global operating environment, with geopolitical tensions, supply chain risks, and geo-economic competition shaping business conditions. Recent high-level engagement, including the Foreign Secretary’s visit to China, has focused both on global issues and on promoting </w:t>
      </w:r>
      <w:r w:rsidR="00FE1918">
        <w:rPr>
          <w:rFonts w:ascii="Arial" w:hAnsi="Arial" w:cs="Arial"/>
          <w:sz w:val="24"/>
          <w:szCs w:val="24"/>
        </w:rPr>
        <w:t xml:space="preserve">safe </w:t>
      </w:r>
      <w:r w:rsidRPr="003A6A95">
        <w:rPr>
          <w:rFonts w:ascii="Arial" w:hAnsi="Arial" w:cs="Arial"/>
          <w:sz w:val="24"/>
          <w:szCs w:val="24"/>
        </w:rPr>
        <w:t xml:space="preserve">economic cooperation, including new market access gains, progress on tariffs, and the development of a potential UK–China services partnership. At the same time, Alex </w:t>
      </w:r>
      <w:proofErr w:type="spellStart"/>
      <w:r w:rsidRPr="003A6A95">
        <w:rPr>
          <w:rFonts w:ascii="Arial" w:hAnsi="Arial" w:cs="Arial"/>
          <w:sz w:val="24"/>
          <w:szCs w:val="24"/>
        </w:rPr>
        <w:t>emphasised</w:t>
      </w:r>
      <w:proofErr w:type="spellEnd"/>
      <w:r w:rsidRPr="003A6A95">
        <w:rPr>
          <w:rFonts w:ascii="Arial" w:hAnsi="Arial" w:cs="Arial"/>
          <w:sz w:val="24"/>
          <w:szCs w:val="24"/>
        </w:rPr>
        <w:t xml:space="preserve"> the importance </w:t>
      </w:r>
      <w:r w:rsidRPr="003A6A95">
        <w:rPr>
          <w:rFonts w:ascii="Arial" w:hAnsi="Arial" w:cs="Arial"/>
          <w:sz w:val="24"/>
          <w:szCs w:val="24"/>
        </w:rPr>
        <w:lastRenderedPageBreak/>
        <w:t>of businesses remaining alert to regulatory complexity and undertaking appropriate due diligence when operating in China.</w:t>
      </w:r>
    </w:p>
    <w:p w14:paraId="104B047D" w14:textId="77777777" w:rsidR="00440AFC" w:rsidRPr="003A6A95" w:rsidRDefault="00FF3097">
      <w:pPr>
        <w:rPr>
          <w:rFonts w:ascii="Arial" w:hAnsi="Arial" w:cs="Arial"/>
          <w:sz w:val="24"/>
          <w:szCs w:val="24"/>
        </w:rPr>
      </w:pPr>
      <w:r w:rsidRPr="003A6A95">
        <w:rPr>
          <w:rFonts w:ascii="Arial" w:hAnsi="Arial" w:cs="Arial"/>
          <w:sz w:val="24"/>
          <w:szCs w:val="24"/>
        </w:rPr>
        <w:t>Paul McComb then provided a perspective from Hong Kong, describing its continued role as a gateway for UK firms into mainland China and the wider Asia-Pacific region. While acknowledging changes to Hong Kong’s external perception in recent years, he argued that its core economic fundamentals remain intact, including its common law system, English-language business environment, free flow of capital, and position as a global financial and services hub. He noted that many firms use Hong Kong as a base for regional operations, particularly for accessing capital and managing investments, as well as for structuring contracts and mitigating legal and financial risks associated with operating in mainland China. He also highlighted emerging opportunities linked to technology, life sciences and large-scale urban development projects in Hong Kong.</w:t>
      </w:r>
    </w:p>
    <w:p w14:paraId="28F7EAFB" w14:textId="77777777" w:rsidR="00440AFC" w:rsidRPr="003A6A95" w:rsidRDefault="00FF3097">
      <w:pPr>
        <w:rPr>
          <w:rFonts w:ascii="Arial" w:hAnsi="Arial" w:cs="Arial"/>
          <w:sz w:val="24"/>
          <w:szCs w:val="24"/>
        </w:rPr>
      </w:pPr>
      <w:r w:rsidRPr="003A6A95">
        <w:rPr>
          <w:rFonts w:ascii="Arial" w:hAnsi="Arial" w:cs="Arial"/>
          <w:sz w:val="24"/>
          <w:szCs w:val="24"/>
        </w:rPr>
        <w:t xml:space="preserve">Trey McArver focused on the implications of the shifting geopolitical landscape for business strategy, particularly the lack of </w:t>
      </w:r>
      <w:proofErr w:type="gramStart"/>
      <w:r w:rsidRPr="003A6A95">
        <w:rPr>
          <w:rFonts w:ascii="Arial" w:hAnsi="Arial" w:cs="Arial"/>
          <w:sz w:val="24"/>
          <w:szCs w:val="24"/>
        </w:rPr>
        <w:t>a stable</w:t>
      </w:r>
      <w:proofErr w:type="gramEnd"/>
      <w:r w:rsidRPr="003A6A95">
        <w:rPr>
          <w:rFonts w:ascii="Arial" w:hAnsi="Arial" w:cs="Arial"/>
          <w:sz w:val="24"/>
          <w:szCs w:val="24"/>
        </w:rPr>
        <w:t xml:space="preserve"> equilibrium between major global trading </w:t>
      </w:r>
      <w:proofErr w:type="gramStart"/>
      <w:r w:rsidRPr="003A6A95">
        <w:rPr>
          <w:rFonts w:ascii="Arial" w:hAnsi="Arial" w:cs="Arial"/>
          <w:sz w:val="24"/>
          <w:szCs w:val="24"/>
        </w:rPr>
        <w:t>blocs</w:t>
      </w:r>
      <w:proofErr w:type="gramEnd"/>
      <w:r w:rsidRPr="003A6A95">
        <w:rPr>
          <w:rFonts w:ascii="Arial" w:hAnsi="Arial" w:cs="Arial"/>
          <w:sz w:val="24"/>
          <w:szCs w:val="24"/>
        </w:rPr>
        <w:t>. He stressed that businesses must consider not only sector-specific dynamics, but also the wider macro and geopolitical context, which increasingly shapes market outcomes. He highlighted the importance of scenario planning, flexibility and risk management, noting that firms often underestimate the impact of policy and regulation when making commercial decisions.</w:t>
      </w:r>
    </w:p>
    <w:p w14:paraId="49FE622B" w14:textId="77777777" w:rsidR="00440AFC" w:rsidRPr="003A6A95" w:rsidRDefault="00FF3097">
      <w:pPr>
        <w:rPr>
          <w:rFonts w:ascii="Arial" w:hAnsi="Arial" w:cs="Arial"/>
          <w:sz w:val="24"/>
          <w:szCs w:val="24"/>
        </w:rPr>
      </w:pPr>
      <w:r w:rsidRPr="003A6A95">
        <w:rPr>
          <w:rFonts w:ascii="Arial" w:hAnsi="Arial" w:cs="Arial"/>
          <w:sz w:val="24"/>
          <w:szCs w:val="24"/>
        </w:rPr>
        <w:t xml:space="preserve">The discussion also explored how businesses should approach market entry into China. Speakers consistently </w:t>
      </w:r>
      <w:proofErr w:type="spellStart"/>
      <w:r w:rsidRPr="003A6A95">
        <w:rPr>
          <w:rFonts w:ascii="Arial" w:hAnsi="Arial" w:cs="Arial"/>
          <w:sz w:val="24"/>
          <w:szCs w:val="24"/>
        </w:rPr>
        <w:t>emphasised</w:t>
      </w:r>
      <w:proofErr w:type="spellEnd"/>
      <w:r w:rsidRPr="003A6A95">
        <w:rPr>
          <w:rFonts w:ascii="Arial" w:hAnsi="Arial" w:cs="Arial"/>
          <w:sz w:val="24"/>
          <w:szCs w:val="24"/>
        </w:rPr>
        <w:t xml:space="preserve"> that China should not be treated as a single market, with significant variation across regions and cities. While major hubs such as Beijing and Shanghai remain key entry points, they are also highly competitive, and there may be advantages in targeting emerging regional markets. Firms were advised to develop clear market entry strategies, invest in local knowledge and partnerships, and consider different operating models, including joint ventures or separated business structures to manage risk.</w:t>
      </w:r>
    </w:p>
    <w:p w14:paraId="3F08F44C" w14:textId="77777777" w:rsidR="00440AFC" w:rsidRPr="003A6A95" w:rsidRDefault="00FF3097">
      <w:pPr>
        <w:rPr>
          <w:rFonts w:ascii="Arial" w:hAnsi="Arial" w:cs="Arial"/>
          <w:sz w:val="24"/>
          <w:szCs w:val="24"/>
        </w:rPr>
      </w:pPr>
      <w:r w:rsidRPr="003A6A95">
        <w:rPr>
          <w:rFonts w:ascii="Arial" w:hAnsi="Arial" w:cs="Arial"/>
          <w:sz w:val="24"/>
          <w:szCs w:val="24"/>
        </w:rPr>
        <w:t>A strong theme throughout the discussion was the importance of thorough due diligence and preparation. Speakers noted that assumptions about China are often outdated, and that while geopolitical risks are real, for many consumer-facing businesses the more immediate challenge is competition within the market itself. Businesses were encouraged to focus on building robust commercial strategies, while also factoring in regulatory developments, intellectual property considerations and exposure to global geopolitical shifts.</w:t>
      </w:r>
    </w:p>
    <w:p w14:paraId="5590D7EE" w14:textId="77777777" w:rsidR="00440AFC" w:rsidRPr="003A6A95" w:rsidRDefault="00FF3097">
      <w:pPr>
        <w:rPr>
          <w:rFonts w:ascii="Arial" w:hAnsi="Arial" w:cs="Arial"/>
          <w:sz w:val="24"/>
          <w:szCs w:val="24"/>
        </w:rPr>
      </w:pPr>
      <w:r w:rsidRPr="003A6A95">
        <w:rPr>
          <w:rFonts w:ascii="Arial" w:hAnsi="Arial" w:cs="Arial"/>
          <w:sz w:val="24"/>
          <w:szCs w:val="24"/>
        </w:rPr>
        <w:t xml:space="preserve">During the Q&amp;A, participants raised questions on geopolitical risk and global trade dynamics. Panel members noted continued growth in engagement with </w:t>
      </w:r>
      <w:r w:rsidRPr="003A6A95">
        <w:rPr>
          <w:rFonts w:ascii="Arial" w:hAnsi="Arial" w:cs="Arial"/>
          <w:sz w:val="24"/>
          <w:szCs w:val="24"/>
        </w:rPr>
        <w:lastRenderedPageBreak/>
        <w:t>China and Hong Kong, although some caution remains given ongoing uncertainty. Questions were also raised on government support, with speakers outlining the practical assistance available to businesses, including trade missions, export finance, and market entry support.</w:t>
      </w:r>
    </w:p>
    <w:p w14:paraId="30B8BAE0" w14:textId="55759FDD" w:rsidR="00440AFC" w:rsidRPr="003A6A95" w:rsidRDefault="00FF3097">
      <w:pPr>
        <w:rPr>
          <w:rFonts w:ascii="Arial" w:hAnsi="Arial" w:cs="Arial"/>
          <w:sz w:val="24"/>
          <w:szCs w:val="24"/>
        </w:rPr>
      </w:pPr>
      <w:r w:rsidRPr="003A6A95">
        <w:rPr>
          <w:rFonts w:ascii="Arial" w:hAnsi="Arial" w:cs="Arial"/>
          <w:sz w:val="24"/>
          <w:szCs w:val="24"/>
        </w:rPr>
        <w:t xml:space="preserve">In closing, speakers reiterated that </w:t>
      </w:r>
      <w:r w:rsidR="00180B1A" w:rsidRPr="00180B1A">
        <w:rPr>
          <w:rFonts w:ascii="Arial" w:hAnsi="Arial" w:cs="Arial"/>
          <w:sz w:val="24"/>
          <w:szCs w:val="24"/>
        </w:rPr>
        <w:t xml:space="preserve">when approached in a safe and informed way, </w:t>
      </w:r>
      <w:r w:rsidRPr="003A6A95">
        <w:rPr>
          <w:rFonts w:ascii="Arial" w:hAnsi="Arial" w:cs="Arial"/>
          <w:sz w:val="24"/>
          <w:szCs w:val="24"/>
        </w:rPr>
        <w:t xml:space="preserve">China and Hong Kong continue to offer significant opportunities for UK businesses, but that success depends on adopting a long-term and flexible approach. The DAH encouraged businesses to engage further to access tailored support and highlighted its ongoing </w:t>
      </w:r>
      <w:proofErr w:type="spellStart"/>
      <w:r w:rsidRPr="003A6A95">
        <w:rPr>
          <w:rFonts w:ascii="Arial" w:hAnsi="Arial" w:cs="Arial"/>
          <w:sz w:val="24"/>
          <w:szCs w:val="24"/>
        </w:rPr>
        <w:t>programme</w:t>
      </w:r>
      <w:proofErr w:type="spellEnd"/>
      <w:r w:rsidRPr="003A6A95">
        <w:rPr>
          <w:rFonts w:ascii="Arial" w:hAnsi="Arial" w:cs="Arial"/>
          <w:sz w:val="24"/>
          <w:szCs w:val="24"/>
        </w:rPr>
        <w:t xml:space="preserve"> of webinars covering key global markets.</w:t>
      </w:r>
      <w:r w:rsidRPr="003A6A95">
        <w:rPr>
          <w:rFonts w:ascii="Arial" w:hAnsi="Arial" w:cs="Arial"/>
          <w:sz w:val="24"/>
          <w:szCs w:val="24"/>
        </w:rPr>
        <w:br/>
      </w:r>
    </w:p>
    <w:sectPr w:rsidR="00440AFC" w:rsidRPr="003A6A95" w:rsidSect="00034616">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575E" w14:textId="77777777" w:rsidR="00443F34" w:rsidRDefault="00443F34" w:rsidP="007B0239">
      <w:pPr>
        <w:spacing w:after="0" w:line="240" w:lineRule="auto"/>
      </w:pPr>
      <w:r>
        <w:separator/>
      </w:r>
    </w:p>
  </w:endnote>
  <w:endnote w:type="continuationSeparator" w:id="0">
    <w:p w14:paraId="1F0431D2" w14:textId="77777777" w:rsidR="00443F34" w:rsidRDefault="00443F34" w:rsidP="007B0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F1DC" w14:textId="3DB209C5" w:rsidR="007B0239" w:rsidRDefault="00217C0A">
    <w:pPr>
      <w:pStyle w:val="Footer"/>
    </w:pPr>
    <w:r>
      <w:rPr>
        <w:noProof/>
      </w:rPr>
      <mc:AlternateContent>
        <mc:Choice Requires="wps">
          <w:drawing>
            <wp:anchor distT="0" distB="0" distL="0" distR="0" simplePos="0" relativeHeight="251662336" behindDoc="0" locked="0" layoutInCell="1" allowOverlap="1" wp14:anchorId="722D97D1" wp14:editId="40864D06">
              <wp:simplePos x="635" y="635"/>
              <wp:positionH relativeFrom="page">
                <wp:align>center</wp:align>
              </wp:positionH>
              <wp:positionV relativeFrom="page">
                <wp:align>bottom</wp:align>
              </wp:positionV>
              <wp:extent cx="504825" cy="361950"/>
              <wp:effectExtent l="0" t="0" r="9525" b="0"/>
              <wp:wrapNone/>
              <wp:docPr id="9200932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61950"/>
                      </a:xfrm>
                      <a:prstGeom prst="rect">
                        <a:avLst/>
                      </a:prstGeom>
                      <a:noFill/>
                      <a:ln>
                        <a:noFill/>
                      </a:ln>
                    </wps:spPr>
                    <wps:txbx>
                      <w:txbxContent>
                        <w:p w14:paraId="712BCF4E" w14:textId="38BCDD65" w:rsidR="00217C0A" w:rsidRPr="00217C0A" w:rsidRDefault="00217C0A" w:rsidP="00217C0A">
                          <w:pPr>
                            <w:spacing w:after="0"/>
                            <w:rPr>
                              <w:rFonts w:ascii="Aptos" w:eastAsia="Aptos" w:hAnsi="Aptos" w:cs="Aptos"/>
                              <w:noProof/>
                              <w:color w:val="000000"/>
                              <w:sz w:val="20"/>
                              <w:szCs w:val="20"/>
                            </w:rPr>
                          </w:pPr>
                          <w:r w:rsidRPr="00217C0A">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2D97D1" id="_x0000_t202" coordsize="21600,21600" o:spt="202" path="m,l,21600r21600,l21600,xe">
              <v:stroke joinstyle="miter"/>
              <v:path gradientshapeok="t" o:connecttype="rect"/>
            </v:shapetype>
            <v:shape id="Text Box 5" o:spid="_x0000_s1028" type="#_x0000_t202" alt="OFFICIAL" style="position:absolute;margin-left:0;margin-top:0;width:39.75pt;height:2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" filled="f" stroked="f">
              <v:textbox style="mso-fit-shape-to-text:t" inset="0,0,0,15pt">
                <w:txbxContent>
                  <w:p w14:paraId="712BCF4E" w14:textId="38BCDD65" w:rsidR="00217C0A" w:rsidRPr="00217C0A" w:rsidRDefault="00217C0A" w:rsidP="00217C0A">
                    <w:pPr>
                      <w:spacing w:after="0"/>
                      <w:rPr>
                        <w:rFonts w:ascii="Aptos" w:eastAsia="Aptos" w:hAnsi="Aptos" w:cs="Aptos"/>
                        <w:noProof/>
                        <w:color w:val="000000"/>
                        <w:sz w:val="20"/>
                        <w:szCs w:val="20"/>
                      </w:rPr>
                    </w:pPr>
                    <w:r w:rsidRPr="00217C0A">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794781"/>
      <w:docPartObj>
        <w:docPartGallery w:val="Page Numbers (Bottom of Page)"/>
        <w:docPartUnique/>
      </w:docPartObj>
    </w:sdtPr>
    <w:sdtEndPr>
      <w:rPr>
        <w:noProof/>
      </w:rPr>
    </w:sdtEndPr>
    <w:sdtContent>
      <w:p w14:paraId="6E49DE6A" w14:textId="55690AFD" w:rsidR="00290662" w:rsidRDefault="002906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C79B4E" w14:textId="354334B5" w:rsidR="007B0239" w:rsidRDefault="007B02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898A" w14:textId="598512AB" w:rsidR="007B0239" w:rsidRDefault="00217C0A">
    <w:pPr>
      <w:pStyle w:val="Footer"/>
    </w:pPr>
    <w:r>
      <w:rPr>
        <w:noProof/>
      </w:rPr>
      <mc:AlternateContent>
        <mc:Choice Requires="wps">
          <w:drawing>
            <wp:anchor distT="0" distB="0" distL="0" distR="0" simplePos="0" relativeHeight="251661312" behindDoc="0" locked="0" layoutInCell="1" allowOverlap="1" wp14:anchorId="612A1A96" wp14:editId="3C06F53C">
              <wp:simplePos x="635" y="635"/>
              <wp:positionH relativeFrom="page">
                <wp:align>center</wp:align>
              </wp:positionH>
              <wp:positionV relativeFrom="page">
                <wp:align>bottom</wp:align>
              </wp:positionV>
              <wp:extent cx="504825" cy="361950"/>
              <wp:effectExtent l="0" t="0" r="9525" b="0"/>
              <wp:wrapNone/>
              <wp:docPr id="9811338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61950"/>
                      </a:xfrm>
                      <a:prstGeom prst="rect">
                        <a:avLst/>
                      </a:prstGeom>
                      <a:noFill/>
                      <a:ln>
                        <a:noFill/>
                      </a:ln>
                    </wps:spPr>
                    <wps:txbx>
                      <w:txbxContent>
                        <w:p w14:paraId="3EE01CA4" w14:textId="36B7961F" w:rsidR="00217C0A" w:rsidRPr="00217C0A" w:rsidRDefault="00217C0A" w:rsidP="00217C0A">
                          <w:pPr>
                            <w:spacing w:after="0"/>
                            <w:rPr>
                              <w:rFonts w:ascii="Aptos" w:eastAsia="Aptos" w:hAnsi="Aptos" w:cs="Aptos"/>
                              <w:noProof/>
                              <w:color w:val="000000"/>
                              <w:sz w:val="20"/>
                              <w:szCs w:val="20"/>
                            </w:rPr>
                          </w:pPr>
                          <w:r w:rsidRPr="00217C0A">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2A1A96" id="_x0000_t202" coordsize="21600,21600" o:spt="202" path="m,l,21600r21600,l21600,xe">
              <v:stroke joinstyle="miter"/>
              <v:path gradientshapeok="t" o:connecttype="rect"/>
            </v:shapetype>
            <v:shape id="Text Box 4" o:spid="_x0000_s1030" type="#_x0000_t202" alt="OFFICIAL" style="position:absolute;margin-left:0;margin-top:0;width:39.75pt;height:2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" filled="f" stroked="f">
              <v:textbox style="mso-fit-shape-to-text:t" inset="0,0,0,15pt">
                <w:txbxContent>
                  <w:p w14:paraId="3EE01CA4" w14:textId="36B7961F" w:rsidR="00217C0A" w:rsidRPr="00217C0A" w:rsidRDefault="00217C0A" w:rsidP="00217C0A">
                    <w:pPr>
                      <w:spacing w:after="0"/>
                      <w:rPr>
                        <w:rFonts w:ascii="Aptos" w:eastAsia="Aptos" w:hAnsi="Aptos" w:cs="Aptos"/>
                        <w:noProof/>
                        <w:color w:val="000000"/>
                        <w:sz w:val="20"/>
                        <w:szCs w:val="20"/>
                      </w:rPr>
                    </w:pPr>
                    <w:r w:rsidRPr="00217C0A">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1D337" w14:textId="77777777" w:rsidR="00443F34" w:rsidRDefault="00443F34" w:rsidP="007B0239">
      <w:pPr>
        <w:spacing w:after="0" w:line="240" w:lineRule="auto"/>
      </w:pPr>
      <w:r>
        <w:separator/>
      </w:r>
    </w:p>
  </w:footnote>
  <w:footnote w:type="continuationSeparator" w:id="0">
    <w:p w14:paraId="1AAEE242" w14:textId="77777777" w:rsidR="00443F34" w:rsidRDefault="00443F34" w:rsidP="007B0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AA34" w14:textId="57734649" w:rsidR="007B0239" w:rsidRDefault="00217C0A">
    <w:pPr>
      <w:pStyle w:val="Header"/>
    </w:pPr>
    <w:r>
      <w:rPr>
        <w:noProof/>
      </w:rPr>
      <mc:AlternateContent>
        <mc:Choice Requires="wps">
          <w:drawing>
            <wp:anchor distT="0" distB="0" distL="0" distR="0" simplePos="0" relativeHeight="251659264" behindDoc="0" locked="0" layoutInCell="1" allowOverlap="1" wp14:anchorId="7C5C4BD6" wp14:editId="5F62B04C">
              <wp:simplePos x="635" y="635"/>
              <wp:positionH relativeFrom="page">
                <wp:align>center</wp:align>
              </wp:positionH>
              <wp:positionV relativeFrom="page">
                <wp:align>top</wp:align>
              </wp:positionV>
              <wp:extent cx="504825" cy="361950"/>
              <wp:effectExtent l="0" t="0" r="9525" b="0"/>
              <wp:wrapNone/>
              <wp:docPr id="7881326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61950"/>
                      </a:xfrm>
                      <a:prstGeom prst="rect">
                        <a:avLst/>
                      </a:prstGeom>
                      <a:noFill/>
                      <a:ln>
                        <a:noFill/>
                      </a:ln>
                    </wps:spPr>
                    <wps:txbx>
                      <w:txbxContent>
                        <w:p w14:paraId="6D5D69EE" w14:textId="33B5C566" w:rsidR="00217C0A" w:rsidRPr="00217C0A" w:rsidRDefault="00217C0A" w:rsidP="00217C0A">
                          <w:pPr>
                            <w:spacing w:after="0"/>
                            <w:rPr>
                              <w:rFonts w:ascii="Aptos" w:eastAsia="Aptos" w:hAnsi="Aptos" w:cs="Aptos"/>
                              <w:noProof/>
                              <w:color w:val="000000"/>
                              <w:sz w:val="20"/>
                              <w:szCs w:val="20"/>
                            </w:rPr>
                          </w:pPr>
                          <w:r w:rsidRPr="00217C0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5C4BD6" id="_x0000_t202" coordsize="21600,21600" o:spt="202" path="m,l,21600r21600,l21600,xe">
              <v:stroke joinstyle="miter"/>
              <v:path gradientshapeok="t" o:connecttype="rect"/>
            </v:shapetype>
            <v:shape id="Text Box 2" o:spid="_x0000_s1026" type="#_x0000_t202" alt="OFFICIAL" style="position:absolute;margin-left:0;margin-top:0;width:39.75pt;height:2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" filled="f" stroked="f">
              <v:textbox style="mso-fit-shape-to-text:t" inset="0,15pt,0,0">
                <w:txbxContent>
                  <w:p w14:paraId="6D5D69EE" w14:textId="33B5C566" w:rsidR="00217C0A" w:rsidRPr="00217C0A" w:rsidRDefault="00217C0A" w:rsidP="00217C0A">
                    <w:pPr>
                      <w:spacing w:after="0"/>
                      <w:rPr>
                        <w:rFonts w:ascii="Aptos" w:eastAsia="Aptos" w:hAnsi="Aptos" w:cs="Aptos"/>
                        <w:noProof/>
                        <w:color w:val="000000"/>
                        <w:sz w:val="20"/>
                        <w:szCs w:val="20"/>
                      </w:rPr>
                    </w:pPr>
                    <w:r w:rsidRPr="00217C0A">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C5F6" w14:textId="4E306C8C" w:rsidR="00290662" w:rsidRPr="003A6A95" w:rsidRDefault="00290662" w:rsidP="00290662">
    <w:pPr>
      <w:rPr>
        <w:rFonts w:ascii="Arial" w:hAnsi="Arial" w:cs="Arial"/>
        <w:b/>
        <w:bCs/>
        <w:sz w:val="24"/>
        <w:szCs w:val="24"/>
      </w:rPr>
    </w:pPr>
    <w:r w:rsidRPr="003A6A95">
      <w:rPr>
        <w:rFonts w:ascii="Arial" w:hAnsi="Arial" w:cs="Arial"/>
        <w:b/>
        <w:bCs/>
        <w:sz w:val="24"/>
        <w:szCs w:val="24"/>
      </w:rPr>
      <w:t>Diplomatic Advisory Hub Webinar</w:t>
    </w:r>
    <w:r>
      <w:rPr>
        <w:rFonts w:ascii="Arial" w:hAnsi="Arial" w:cs="Arial"/>
        <w:b/>
        <w:bCs/>
        <w:sz w:val="24"/>
        <w:szCs w:val="24"/>
      </w:rPr>
      <w:t xml:space="preserve"> on China</w:t>
    </w:r>
    <w:r w:rsidR="00B817E4">
      <w:rPr>
        <w:rFonts w:ascii="Arial" w:hAnsi="Arial" w:cs="Arial"/>
        <w:b/>
        <w:bCs/>
        <w:sz w:val="24"/>
        <w:szCs w:val="24"/>
      </w:rPr>
      <w:t xml:space="preserve"> and Hong Kong</w:t>
    </w:r>
    <w:r w:rsidRPr="003A6A95">
      <w:rPr>
        <w:rFonts w:ascii="Arial" w:hAnsi="Arial" w:cs="Arial"/>
        <w:b/>
        <w:bCs/>
        <w:sz w:val="24"/>
        <w:szCs w:val="24"/>
      </w:rPr>
      <w:t>, 12 June 2026</w:t>
    </w:r>
  </w:p>
  <w:p w14:paraId="331B62E8" w14:textId="1CCB01ED" w:rsidR="007B0239" w:rsidRDefault="00217C0A">
    <w:pPr>
      <w:pStyle w:val="Header"/>
    </w:pPr>
    <w:r>
      <w:rPr>
        <w:noProof/>
      </w:rPr>
      <mc:AlternateContent>
        <mc:Choice Requires="wps">
          <w:drawing>
            <wp:anchor distT="0" distB="0" distL="0" distR="0" simplePos="0" relativeHeight="251660288" behindDoc="0" locked="0" layoutInCell="1" allowOverlap="1" wp14:anchorId="33159D57" wp14:editId="671BE904">
              <wp:simplePos x="635" y="635"/>
              <wp:positionH relativeFrom="page">
                <wp:align>center</wp:align>
              </wp:positionH>
              <wp:positionV relativeFrom="page">
                <wp:align>top</wp:align>
              </wp:positionV>
              <wp:extent cx="504825" cy="361950"/>
              <wp:effectExtent l="0" t="0" r="9525" b="0"/>
              <wp:wrapNone/>
              <wp:docPr id="201705598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61950"/>
                      </a:xfrm>
                      <a:prstGeom prst="rect">
                        <a:avLst/>
                      </a:prstGeom>
                      <a:noFill/>
                      <a:ln>
                        <a:noFill/>
                      </a:ln>
                    </wps:spPr>
                    <wps:txbx>
                      <w:txbxContent>
                        <w:p w14:paraId="0CB5A233" w14:textId="2F1C2DF5" w:rsidR="00217C0A" w:rsidRPr="00217C0A" w:rsidRDefault="00217C0A" w:rsidP="00217C0A">
                          <w:pPr>
                            <w:spacing w:after="0"/>
                            <w:rPr>
                              <w:rFonts w:ascii="Aptos" w:eastAsia="Aptos" w:hAnsi="Aptos" w:cs="Aptos"/>
                              <w:noProof/>
                              <w:color w:val="000000"/>
                              <w:sz w:val="20"/>
                              <w:szCs w:val="20"/>
                            </w:rPr>
                          </w:pPr>
                          <w:r w:rsidRPr="00217C0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159D57" id="_x0000_t202" coordsize="21600,21600" o:spt="202" path="m,l,21600r21600,l21600,xe">
              <v:stroke joinstyle="miter"/>
              <v:path gradientshapeok="t" o:connecttype="rect"/>
            </v:shapetype>
            <v:shape id="Text Box 3" o:spid="_x0000_s1027" type="#_x0000_t202" alt="OFFICIAL" style="position:absolute;margin-left:0;margin-top:0;width:39.75pt;height:2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" filled="f" stroked="f">
              <v:textbox style="mso-fit-shape-to-text:t" inset="0,15pt,0,0">
                <w:txbxContent>
                  <w:p w14:paraId="0CB5A233" w14:textId="2F1C2DF5" w:rsidR="00217C0A" w:rsidRPr="00217C0A" w:rsidRDefault="00217C0A" w:rsidP="00217C0A">
                    <w:pPr>
                      <w:spacing w:after="0"/>
                      <w:rPr>
                        <w:rFonts w:ascii="Aptos" w:eastAsia="Aptos" w:hAnsi="Aptos" w:cs="Aptos"/>
                        <w:noProof/>
                        <w:color w:val="000000"/>
                        <w:sz w:val="20"/>
                        <w:szCs w:val="20"/>
                      </w:rPr>
                    </w:pPr>
                    <w:r w:rsidRPr="00217C0A">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065F" w14:textId="70825A4E" w:rsidR="007B0239" w:rsidRDefault="00217C0A">
    <w:pPr>
      <w:pStyle w:val="Header"/>
    </w:pPr>
    <w:r>
      <w:rPr>
        <w:noProof/>
      </w:rPr>
      <mc:AlternateContent>
        <mc:Choice Requires="wps">
          <w:drawing>
            <wp:anchor distT="0" distB="0" distL="0" distR="0" simplePos="0" relativeHeight="251658240" behindDoc="0" locked="0" layoutInCell="1" allowOverlap="1" wp14:anchorId="53CF5B32" wp14:editId="13FEC14E">
              <wp:simplePos x="635" y="635"/>
              <wp:positionH relativeFrom="page">
                <wp:align>center</wp:align>
              </wp:positionH>
              <wp:positionV relativeFrom="page">
                <wp:align>top</wp:align>
              </wp:positionV>
              <wp:extent cx="504825" cy="361950"/>
              <wp:effectExtent l="0" t="0" r="9525" b="0"/>
              <wp:wrapNone/>
              <wp:docPr id="13317871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61950"/>
                      </a:xfrm>
                      <a:prstGeom prst="rect">
                        <a:avLst/>
                      </a:prstGeom>
                      <a:noFill/>
                      <a:ln>
                        <a:noFill/>
                      </a:ln>
                    </wps:spPr>
                    <wps:txbx>
                      <w:txbxContent>
                        <w:p w14:paraId="5903AE50" w14:textId="7D432566" w:rsidR="00217C0A" w:rsidRPr="00217C0A" w:rsidRDefault="00217C0A" w:rsidP="00217C0A">
                          <w:pPr>
                            <w:spacing w:after="0"/>
                            <w:rPr>
                              <w:rFonts w:ascii="Aptos" w:eastAsia="Aptos" w:hAnsi="Aptos" w:cs="Aptos"/>
                              <w:noProof/>
                              <w:color w:val="000000"/>
                              <w:sz w:val="20"/>
                              <w:szCs w:val="20"/>
                            </w:rPr>
                          </w:pPr>
                          <w:r w:rsidRPr="00217C0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CF5B32" id="_x0000_t202" coordsize="21600,21600" o:spt="202" path="m,l,21600r21600,l21600,xe">
              <v:stroke joinstyle="miter"/>
              <v:path gradientshapeok="t" o:connecttype="rect"/>
            </v:shapetype>
            <v:shape id="Text Box 1" o:spid="_x0000_s1029" type="#_x0000_t202" alt="OFFICIAL" style="position:absolute;margin-left:0;margin-top:0;width:39.75pt;height:2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" filled="f" stroked="f">
              <v:textbox style="mso-fit-shape-to-text:t" inset="0,15pt,0,0">
                <w:txbxContent>
                  <w:p w14:paraId="5903AE50" w14:textId="7D432566" w:rsidR="00217C0A" w:rsidRPr="00217C0A" w:rsidRDefault="00217C0A" w:rsidP="00217C0A">
                    <w:pPr>
                      <w:spacing w:after="0"/>
                      <w:rPr>
                        <w:rFonts w:ascii="Aptos" w:eastAsia="Aptos" w:hAnsi="Aptos" w:cs="Aptos"/>
                        <w:noProof/>
                        <w:color w:val="000000"/>
                        <w:sz w:val="20"/>
                        <w:szCs w:val="20"/>
                      </w:rPr>
                    </w:pPr>
                    <w:r w:rsidRPr="00217C0A">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59727923">
    <w:abstractNumId w:val="8"/>
  </w:num>
  <w:num w:numId="2" w16cid:durableId="938291265">
    <w:abstractNumId w:val="6"/>
  </w:num>
  <w:num w:numId="3" w16cid:durableId="248777626">
    <w:abstractNumId w:val="5"/>
  </w:num>
  <w:num w:numId="4" w16cid:durableId="1165509858">
    <w:abstractNumId w:val="4"/>
  </w:num>
  <w:num w:numId="5" w16cid:durableId="1145125755">
    <w:abstractNumId w:val="7"/>
  </w:num>
  <w:num w:numId="6" w16cid:durableId="1051420950">
    <w:abstractNumId w:val="3"/>
  </w:num>
  <w:num w:numId="7" w16cid:durableId="1916624293">
    <w:abstractNumId w:val="2"/>
  </w:num>
  <w:num w:numId="8" w16cid:durableId="1086657267">
    <w:abstractNumId w:val="1"/>
  </w:num>
  <w:num w:numId="9" w16cid:durableId="1261523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BE5"/>
    <w:rsid w:val="0006063C"/>
    <w:rsid w:val="0006633B"/>
    <w:rsid w:val="0015074B"/>
    <w:rsid w:val="00180B1A"/>
    <w:rsid w:val="00217C0A"/>
    <w:rsid w:val="00290662"/>
    <w:rsid w:val="0029639D"/>
    <w:rsid w:val="003013B6"/>
    <w:rsid w:val="00326F90"/>
    <w:rsid w:val="003A6A95"/>
    <w:rsid w:val="00440AFC"/>
    <w:rsid w:val="00443F34"/>
    <w:rsid w:val="005D50B8"/>
    <w:rsid w:val="006F68EF"/>
    <w:rsid w:val="00760126"/>
    <w:rsid w:val="007B0239"/>
    <w:rsid w:val="009201F7"/>
    <w:rsid w:val="00930F61"/>
    <w:rsid w:val="00AA1D8D"/>
    <w:rsid w:val="00AB5168"/>
    <w:rsid w:val="00B47730"/>
    <w:rsid w:val="00B817E4"/>
    <w:rsid w:val="00C57A9E"/>
    <w:rsid w:val="00CB0664"/>
    <w:rsid w:val="00CF7538"/>
    <w:rsid w:val="00FC45A5"/>
    <w:rsid w:val="00FC693F"/>
    <w:rsid w:val="00FE1918"/>
    <w:rsid w:val="00FF3097"/>
    <w:rsid w:val="1C38B716"/>
    <w:rsid w:val="45148CC0"/>
    <w:rsid w:val="6B5CB4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7BEF59"/>
  <w14:defaultImageDpi w14:val="300"/>
  <w15:docId w15:val="{FAEEA8EB-A512-4955-9640-D7758FCF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FE19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800861CCC66140BDB54C7CDCFF0F1D" ma:contentTypeVersion="12" ma:contentTypeDescription="Create a new document." ma:contentTypeScope="" ma:versionID="c4939898534bf7958f403c209e66e05b">
  <xsd:schema xmlns:xsd="http://www.w3.org/2001/XMLSchema" xmlns:xs="http://www.w3.org/2001/XMLSchema" xmlns:p="http://schemas.microsoft.com/office/2006/metadata/properties" xmlns:ns2="02ee3745-ca02-4761-bcff-17af38069b29" xmlns:ns3="8835b0d3-8c9d-4bb0-b25d-dd520b6fcd3e" targetNamespace="http://schemas.microsoft.com/office/2006/metadata/properties" ma:root="true" ma:fieldsID="39bb96a8b40ca0bd8fd0340cee820798" ns2:_="" ns3:_="">
    <xsd:import namespace="02ee3745-ca02-4761-bcff-17af38069b29"/>
    <xsd:import namespace="8835b0d3-8c9d-4bb0-b25d-dd520b6fcd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e3745-ca02-4761-bcff-17af38069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14f66ec-a8c1-4b1a-8264-b59a49a9c55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35b0d3-8c9d-4bb0-b25d-dd520b6fcd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a089083-069b-4acf-a64d-d9446ed5cfa0}" ma:internalName="TaxCatchAll" ma:showField="CatchAllData" ma:web="8835b0d3-8c9d-4bb0-b25d-dd520b6fc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35b0d3-8c9d-4bb0-b25d-dd520b6fcd3e" xsi:nil="true"/>
    <lcf76f155ced4ddcb4097134ff3c332f xmlns="02ee3745-ca02-4761-bcff-17af38069b2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436E0-63A4-4D20-9EED-0F1A4976D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e3745-ca02-4761-bcff-17af38069b29"/>
    <ds:schemaRef ds:uri="8835b0d3-8c9d-4bb0-b25d-dd520b6fc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650F-B973-4A5F-9FD2-94E41CC42CFB}">
  <ds:schemaRefs>
    <ds:schemaRef ds:uri="http://schemas.microsoft.com/sharepoint/v3/contenttype/forms"/>
  </ds:schemaRefs>
</ds:datastoreItem>
</file>

<file path=customXml/itemProps3.xml><?xml version="1.0" encoding="utf-8"?>
<ds:datastoreItem xmlns:ds="http://schemas.openxmlformats.org/officeDocument/2006/customXml" ds:itemID="{3EFD76EE-429C-426A-8243-D7CAFF582E57}">
  <ds:schemaRefs>
    <ds:schemaRef ds:uri="http://schemas.microsoft.com/office/2006/metadata/properties"/>
    <ds:schemaRef ds:uri="http://schemas.microsoft.com/office/infopath/2007/PartnerControls"/>
    <ds:schemaRef ds:uri="8835b0d3-8c9d-4bb0-b25d-dd520b6fcd3e"/>
    <ds:schemaRef ds:uri="02ee3745-ca02-4761-bcff-17af38069b29"/>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9e9cc48d-6fba-4c12-9882-137473def580}"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5294</Characters>
  <Application>Microsoft Office Word</Application>
  <DocSecurity>0</DocSecurity>
  <Lines>85</Lines>
  <Paragraphs>11</Paragraphs>
  <ScaleCrop>false</ScaleCrop>
  <Manager/>
  <Company/>
  <LinksUpToDate>false</LinksUpToDate>
  <CharactersWithSpaces>6158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Gail Braybrook</cp:lastModifiedBy>
  <cp:revision>3</cp:revision>
  <dcterms:created xsi:type="dcterms:W3CDTF">2026-06-23T13:44:00Z</dcterms:created>
  <dcterms:modified xsi:type="dcterms:W3CDTF">2026-06-23T13:45:00Z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0x010100F4800861CCC66140BDB54C7CDCFF0F1D</vt:lpwstr>
  </property>
  <property fmtid="{D5CDD505-2E9C-101B-9397-08002B2CF9AE}" pid="3" name="MediaServiceImageTags">
    <vt:lpwstr/>
  </property>
  <property fmtid="{D5CDD505-2E9C-101B-9397-08002B2CF9AE}" pid="4" name="ClassificationContentMarkingHeaderShapeIds">
    <vt:lpwstr>4f6175a8,2ef9f309,7839d4ee</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y fmtid="{D5CDD505-2E9C-101B-9397-08002B2CF9AE}" pid="7" name="ClassificationContentMarkingFooterShapeIds">
    <vt:lpwstr>5d91768,36d78271,511d46e8</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ies>
</file>